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02BFC" w14:textId="1EC51002" w:rsidR="009B5656" w:rsidRDefault="00CA26FE">
      <w:r>
        <w:rPr>
          <w:noProof/>
        </w:rPr>
        <w:drawing>
          <wp:anchor distT="0" distB="0" distL="114300" distR="114300" simplePos="0" relativeHeight="251658240" behindDoc="0" locked="0" layoutInCell="1" allowOverlap="1" wp14:anchorId="13A0A204" wp14:editId="79BF1A52">
            <wp:simplePos x="0" y="0"/>
            <wp:positionH relativeFrom="column">
              <wp:posOffset>5775502</wp:posOffset>
            </wp:positionH>
            <wp:positionV relativeFrom="paragraph">
              <wp:posOffset>-635631</wp:posOffset>
            </wp:positionV>
            <wp:extent cx="3028412" cy="738335"/>
            <wp:effectExtent l="0" t="0" r="635" b="5080"/>
            <wp:wrapNone/>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28412" cy="738335"/>
                    </a:xfrm>
                    <a:prstGeom prst="rect">
                      <a:avLst/>
                    </a:prstGeom>
                  </pic:spPr>
                </pic:pic>
              </a:graphicData>
            </a:graphic>
            <wp14:sizeRelH relativeFrom="page">
              <wp14:pctWidth>0</wp14:pctWidth>
            </wp14:sizeRelH>
            <wp14:sizeRelV relativeFrom="page">
              <wp14:pctHeight>0</wp14:pctHeight>
            </wp14:sizeRelV>
          </wp:anchor>
        </w:drawing>
      </w:r>
      <w:r w:rsidR="00B47812">
        <w:rPr>
          <w:b/>
          <w:bCs/>
        </w:rPr>
        <w:t>ANIMAL WELFARE REGULATION 2018 AND ASSOCIATED GUIDANCE</w:t>
      </w:r>
    </w:p>
    <w:p w14:paraId="39C9840D" w14:textId="4C0B8B41" w:rsidR="009B5656" w:rsidRPr="0020073C" w:rsidRDefault="00160957" w:rsidP="00160957">
      <w:pPr>
        <w:pStyle w:val="ListParagraph"/>
        <w:numPr>
          <w:ilvl w:val="0"/>
          <w:numId w:val="4"/>
        </w:numPr>
        <w:rPr>
          <w:b/>
          <w:bCs/>
        </w:rPr>
      </w:pPr>
      <w:r>
        <w:t xml:space="preserve"> </w:t>
      </w:r>
      <w:r w:rsidRPr="0020073C">
        <w:rPr>
          <w:b/>
          <w:bCs/>
        </w:rPr>
        <w:t xml:space="preserve">The Regulations </w:t>
      </w:r>
      <w:r w:rsidR="0020073C" w:rsidRPr="0020073C">
        <w:rPr>
          <w:b/>
          <w:bCs/>
        </w:rPr>
        <w:t>(excluding Schedule 5)</w:t>
      </w:r>
    </w:p>
    <w:tbl>
      <w:tblPr>
        <w:tblStyle w:val="TableGrid"/>
        <w:tblW w:w="14029" w:type="dxa"/>
        <w:tblLook w:val="04A0" w:firstRow="1" w:lastRow="0" w:firstColumn="1" w:lastColumn="0" w:noHBand="0" w:noVBand="1"/>
      </w:tblPr>
      <w:tblGrid>
        <w:gridCol w:w="1517"/>
        <w:gridCol w:w="3023"/>
        <w:gridCol w:w="9489"/>
      </w:tblGrid>
      <w:tr w:rsidR="00465C5E" w14:paraId="3944CDD0" w14:textId="4CB3F76F" w:rsidTr="00465C5E">
        <w:trPr>
          <w:tblHeader/>
        </w:trPr>
        <w:tc>
          <w:tcPr>
            <w:tcW w:w="1517" w:type="dxa"/>
            <w:shd w:val="clear" w:color="auto" w:fill="808080" w:themeFill="background1" w:themeFillShade="80"/>
          </w:tcPr>
          <w:p w14:paraId="6ECCAFBB" w14:textId="377547C7" w:rsidR="00465C5E" w:rsidRPr="00AD30DE" w:rsidRDefault="00465C5E">
            <w:pPr>
              <w:rPr>
                <w:b/>
                <w:bCs/>
                <w:color w:val="FFFFFF" w:themeColor="background1"/>
              </w:rPr>
            </w:pPr>
            <w:bookmarkStart w:id="0" w:name="_Hlk119766135"/>
            <w:r w:rsidRPr="00AD30DE">
              <w:rPr>
                <w:b/>
                <w:bCs/>
                <w:color w:val="FFFFFF" w:themeColor="background1"/>
              </w:rPr>
              <w:t>Part/Schedule</w:t>
            </w:r>
          </w:p>
        </w:tc>
        <w:tc>
          <w:tcPr>
            <w:tcW w:w="3023" w:type="dxa"/>
            <w:shd w:val="clear" w:color="auto" w:fill="808080" w:themeFill="background1" w:themeFillShade="80"/>
          </w:tcPr>
          <w:p w14:paraId="3D7E81C2" w14:textId="7E6131DF" w:rsidR="00465C5E" w:rsidRPr="00AD30DE" w:rsidRDefault="00465C5E">
            <w:pPr>
              <w:rPr>
                <w:b/>
                <w:bCs/>
                <w:color w:val="FFFFFF" w:themeColor="background1"/>
              </w:rPr>
            </w:pPr>
            <w:r w:rsidRPr="00AD30DE">
              <w:rPr>
                <w:b/>
                <w:bCs/>
                <w:color w:val="FFFFFF" w:themeColor="background1"/>
              </w:rPr>
              <w:t>Topic</w:t>
            </w:r>
          </w:p>
        </w:tc>
        <w:tc>
          <w:tcPr>
            <w:tcW w:w="9489" w:type="dxa"/>
            <w:shd w:val="clear" w:color="auto" w:fill="808080" w:themeFill="background1" w:themeFillShade="80"/>
          </w:tcPr>
          <w:p w14:paraId="2F2840E8" w14:textId="36AEF430" w:rsidR="00465C5E" w:rsidRPr="00AD30DE" w:rsidRDefault="00465C5E">
            <w:pPr>
              <w:rPr>
                <w:b/>
                <w:bCs/>
                <w:color w:val="FFFFFF" w:themeColor="background1"/>
              </w:rPr>
            </w:pPr>
            <w:r w:rsidRPr="00AD30DE">
              <w:rPr>
                <w:b/>
                <w:bCs/>
                <w:color w:val="FFFFFF" w:themeColor="background1"/>
              </w:rPr>
              <w:t>ABRS Comment</w:t>
            </w:r>
          </w:p>
        </w:tc>
      </w:tr>
      <w:tr w:rsidR="00465C5E" w14:paraId="06CEBAF8" w14:textId="364EC71E" w:rsidTr="00465C5E">
        <w:tc>
          <w:tcPr>
            <w:tcW w:w="1517" w:type="dxa"/>
            <w:vMerge w:val="restart"/>
          </w:tcPr>
          <w:p w14:paraId="36673BEA" w14:textId="021A6A6E" w:rsidR="00465C5E" w:rsidRDefault="00465C5E">
            <w:r>
              <w:t>Part 2</w:t>
            </w:r>
          </w:p>
        </w:tc>
        <w:tc>
          <w:tcPr>
            <w:tcW w:w="3023" w:type="dxa"/>
            <w:vMerge w:val="restart"/>
          </w:tcPr>
          <w:p w14:paraId="31723E59" w14:textId="421F1023" w:rsidR="00465C5E" w:rsidRDefault="00465C5E">
            <w:r>
              <w:t>4(2)(a) A</w:t>
            </w:r>
            <w:r w:rsidRPr="009B5656">
              <w:t>ppoint</w:t>
            </w:r>
            <w:r>
              <w:t>ment of</w:t>
            </w:r>
            <w:r w:rsidRPr="009B5656">
              <w:t xml:space="preserve"> one or more suitably qualified inspectors</w:t>
            </w:r>
          </w:p>
        </w:tc>
        <w:tc>
          <w:tcPr>
            <w:tcW w:w="9489" w:type="dxa"/>
          </w:tcPr>
          <w:p w14:paraId="64A7689E" w14:textId="0F29BD91" w:rsidR="00465C5E" w:rsidRDefault="00465C5E" w:rsidP="009B5656">
            <w:pPr>
              <w:pStyle w:val="ListParagraph"/>
              <w:numPr>
                <w:ilvl w:val="0"/>
                <w:numId w:val="2"/>
              </w:numPr>
              <w:ind w:left="462" w:hanging="462"/>
            </w:pPr>
            <w:r>
              <w:t>There is no qualification on the</w:t>
            </w:r>
            <w:r w:rsidR="00D72B5F">
              <w:t xml:space="preserve"> period,</w:t>
            </w:r>
            <w:r>
              <w:t xml:space="preserve"> </w:t>
            </w:r>
            <w:r w:rsidR="00D72B5F">
              <w:t xml:space="preserve">following application or request for renewal, </w:t>
            </w:r>
            <w:r>
              <w:t xml:space="preserve">that the LA </w:t>
            </w:r>
            <w:r w:rsidR="00D72B5F">
              <w:t>must</w:t>
            </w:r>
            <w:r>
              <w:t xml:space="preserve"> appoint an Inspector.  This particularly an issue on renewals where, if the LA fails to engage with the licence holder or appoint an inspector in a timely manner, the licence may expire.</w:t>
            </w:r>
          </w:p>
          <w:p w14:paraId="0840B2F8" w14:textId="4BDC3EBE" w:rsidR="00D72B5F" w:rsidRDefault="00D72B5F" w:rsidP="009B5656">
            <w:pPr>
              <w:pStyle w:val="ListParagraph"/>
              <w:numPr>
                <w:ilvl w:val="0"/>
                <w:numId w:val="2"/>
              </w:numPr>
              <w:ind w:left="462" w:hanging="462"/>
            </w:pPr>
            <w:r>
              <w:t>We have experience of one LA that has totally failed to respond to emails, phone calls or letters for licen</w:t>
            </w:r>
            <w:r w:rsidR="00E64708">
              <w:t>s</w:t>
            </w:r>
            <w:r>
              <w:t>ees.</w:t>
            </w:r>
          </w:p>
          <w:p w14:paraId="21D81DCA" w14:textId="058D9453" w:rsidR="00465C5E" w:rsidRDefault="00D72B5F" w:rsidP="00D72B5F">
            <w:pPr>
              <w:pStyle w:val="ListParagraph"/>
              <w:numPr>
                <w:ilvl w:val="0"/>
                <w:numId w:val="2"/>
              </w:numPr>
              <w:ind w:left="462" w:hanging="462"/>
            </w:pPr>
            <w:r>
              <w:t>If the LA fails to engage in a timely manner, t</w:t>
            </w:r>
            <w:r w:rsidR="00465C5E">
              <w:t xml:space="preserve">his places the </w:t>
            </w:r>
            <w:r>
              <w:t>licensee</w:t>
            </w:r>
            <w:r w:rsidR="00465C5E">
              <w:t xml:space="preserve"> in a difficult position: they </w:t>
            </w:r>
            <w:r>
              <w:t xml:space="preserve">either </w:t>
            </w:r>
            <w:r w:rsidR="00465C5E">
              <w:t>continue to operate and are at risk of a regulatory breach</w:t>
            </w:r>
            <w:r>
              <w:t>;</w:t>
            </w:r>
            <w:r w:rsidR="00465C5E">
              <w:t xml:space="preserve"> or</w:t>
            </w:r>
            <w:r>
              <w:t xml:space="preserve">, </w:t>
            </w:r>
            <w:r w:rsidR="00465C5E">
              <w:t>they suspend hiring of horses and face financial loss.</w:t>
            </w:r>
          </w:p>
          <w:p w14:paraId="0739A4A4" w14:textId="2BEB6E1C" w:rsidR="00465C5E" w:rsidRPr="00A277F4" w:rsidRDefault="00465C5E" w:rsidP="002563B7">
            <w:pPr>
              <w:pStyle w:val="ListParagraph"/>
              <w:numPr>
                <w:ilvl w:val="0"/>
                <w:numId w:val="2"/>
              </w:numPr>
              <w:ind w:left="462" w:hanging="462"/>
              <w:rPr>
                <w:i/>
                <w:iCs/>
              </w:rPr>
            </w:pPr>
            <w:r w:rsidRPr="00A277F4">
              <w:rPr>
                <w:i/>
                <w:iCs/>
              </w:rPr>
              <w:t>We believe that, where the LA fails in the duty to appoint an inspector for a renewal inspection</w:t>
            </w:r>
            <w:r w:rsidR="00D72B5F">
              <w:rPr>
                <w:i/>
                <w:iCs/>
              </w:rPr>
              <w:t xml:space="preserve"> in a reasonable period</w:t>
            </w:r>
            <w:r w:rsidRPr="00A277F4">
              <w:rPr>
                <w:i/>
                <w:iCs/>
              </w:rPr>
              <w:t>, the licen</w:t>
            </w:r>
            <w:r w:rsidR="00D72B5F">
              <w:rPr>
                <w:i/>
                <w:iCs/>
              </w:rPr>
              <w:t>see</w:t>
            </w:r>
            <w:r w:rsidRPr="00A277F4">
              <w:rPr>
                <w:i/>
                <w:iCs/>
              </w:rPr>
              <w:t xml:space="preserve"> may presume that the licence remains in force</w:t>
            </w:r>
            <w:r w:rsidR="00D72B5F">
              <w:rPr>
                <w:i/>
                <w:iCs/>
              </w:rPr>
              <w:t xml:space="preserve"> until such time as the LA appoints an Inspector and conducts an inspection</w:t>
            </w:r>
            <w:r w:rsidRPr="00A277F4">
              <w:rPr>
                <w:i/>
                <w:iCs/>
              </w:rPr>
              <w:t>.</w:t>
            </w:r>
          </w:p>
        </w:tc>
      </w:tr>
      <w:tr w:rsidR="00465C5E" w14:paraId="7E18943B" w14:textId="496DD9C8" w:rsidTr="00465C5E">
        <w:tc>
          <w:tcPr>
            <w:tcW w:w="1517" w:type="dxa"/>
            <w:vMerge/>
          </w:tcPr>
          <w:p w14:paraId="230E8A6D" w14:textId="77777777" w:rsidR="00465C5E" w:rsidRDefault="00465C5E"/>
        </w:tc>
        <w:tc>
          <w:tcPr>
            <w:tcW w:w="3023" w:type="dxa"/>
            <w:vMerge/>
          </w:tcPr>
          <w:p w14:paraId="7FE1376F" w14:textId="77777777" w:rsidR="00465C5E" w:rsidRDefault="00465C5E"/>
        </w:tc>
        <w:tc>
          <w:tcPr>
            <w:tcW w:w="9489" w:type="dxa"/>
          </w:tcPr>
          <w:p w14:paraId="3E79731F" w14:textId="33526FCA" w:rsidR="00465C5E" w:rsidRDefault="00465C5E" w:rsidP="00A277F4">
            <w:pPr>
              <w:pStyle w:val="ListParagraph"/>
              <w:numPr>
                <w:ilvl w:val="0"/>
                <w:numId w:val="2"/>
              </w:numPr>
              <w:ind w:left="462" w:hanging="462"/>
            </w:pPr>
            <w:r>
              <w:t>During COVID, the LA’s largely suspended their</w:t>
            </w:r>
            <w:r w:rsidR="00D72B5F">
              <w:t xml:space="preserve"> on-site</w:t>
            </w:r>
            <w:r>
              <w:t xml:space="preserve"> operations and </w:t>
            </w:r>
            <w:r w:rsidR="00D72B5F">
              <w:t>suspended</w:t>
            </w:r>
            <w:r>
              <w:t xml:space="preserve"> inspection</w:t>
            </w:r>
            <w:r w:rsidR="00D72B5F">
              <w:t>s</w:t>
            </w:r>
            <w:r>
              <w:t xml:space="preserve"> for </w:t>
            </w:r>
            <w:r w:rsidR="00D72B5F">
              <w:t>both</w:t>
            </w:r>
            <w:r>
              <w:t xml:space="preserve"> the initial licence award or renewals.  </w:t>
            </w:r>
            <w:r w:rsidR="00D72B5F">
              <w:t xml:space="preserve">To support our members, </w:t>
            </w:r>
            <w:r w:rsidR="00E64708">
              <w:t>w</w:t>
            </w:r>
            <w:r>
              <w:t xml:space="preserve">e </w:t>
            </w:r>
            <w:r w:rsidR="00D72B5F">
              <w:t xml:space="preserve">requested </w:t>
            </w:r>
            <w:r>
              <w:t>L</w:t>
            </w:r>
            <w:r w:rsidR="00D72B5F">
              <w:t>A</w:t>
            </w:r>
            <w:r>
              <w:t>s to extend</w:t>
            </w:r>
            <w:r w:rsidR="00E64708">
              <w:t xml:space="preserve">, without inspection, the </w:t>
            </w:r>
            <w:r>
              <w:t>licence duration</w:t>
            </w:r>
            <w:r w:rsidR="00E64708">
              <w:t xml:space="preserve"> of licences that were due to expire</w:t>
            </w:r>
            <w:r>
              <w:t xml:space="preserve"> given the exceptional circumstances but were advice the legislation did not permit this. </w:t>
            </w:r>
          </w:p>
          <w:p w14:paraId="7C9767CE" w14:textId="35C8094F" w:rsidR="00E64708" w:rsidRDefault="00E64708" w:rsidP="00A277F4">
            <w:pPr>
              <w:pStyle w:val="ListParagraph"/>
              <w:numPr>
                <w:ilvl w:val="0"/>
                <w:numId w:val="2"/>
              </w:numPr>
              <w:ind w:left="462" w:hanging="462"/>
            </w:pPr>
            <w:r>
              <w:t>We note that in other regulatory areas – for example, HSE extended the validity of First Aid Certificates – exceptional action was taken.</w:t>
            </w:r>
          </w:p>
          <w:p w14:paraId="16489BF6" w14:textId="06A64C23" w:rsidR="00465C5E" w:rsidRDefault="00465C5E" w:rsidP="00A277F4">
            <w:pPr>
              <w:pStyle w:val="ListParagraph"/>
              <w:numPr>
                <w:ilvl w:val="0"/>
                <w:numId w:val="2"/>
              </w:numPr>
              <w:ind w:left="462" w:hanging="462"/>
            </w:pPr>
            <w:r>
              <w:rPr>
                <w:i/>
                <w:iCs/>
              </w:rPr>
              <w:t>We believe</w:t>
            </w:r>
            <w:r w:rsidR="00E64708">
              <w:rPr>
                <w:i/>
                <w:iCs/>
              </w:rPr>
              <w:t xml:space="preserve"> the legislation and/or guidance should permit</w:t>
            </w:r>
            <w:r>
              <w:rPr>
                <w:i/>
                <w:iCs/>
              </w:rPr>
              <w:t xml:space="preserve"> LA</w:t>
            </w:r>
            <w:r w:rsidR="00E64708">
              <w:rPr>
                <w:i/>
                <w:iCs/>
              </w:rPr>
              <w:t>s</w:t>
            </w:r>
            <w:r>
              <w:rPr>
                <w:i/>
                <w:iCs/>
              </w:rPr>
              <w:t>, in exceptional circumstances, to extend licence durations without inspections.</w:t>
            </w:r>
          </w:p>
        </w:tc>
      </w:tr>
      <w:tr w:rsidR="00465C5E" w14:paraId="51D8A340" w14:textId="7A93D8B9" w:rsidTr="00465C5E">
        <w:tc>
          <w:tcPr>
            <w:tcW w:w="1517" w:type="dxa"/>
            <w:vMerge/>
          </w:tcPr>
          <w:p w14:paraId="44157C60" w14:textId="77777777" w:rsidR="00465C5E" w:rsidRDefault="00465C5E"/>
        </w:tc>
        <w:tc>
          <w:tcPr>
            <w:tcW w:w="3023" w:type="dxa"/>
            <w:vMerge/>
          </w:tcPr>
          <w:p w14:paraId="075137DC" w14:textId="77777777" w:rsidR="00465C5E" w:rsidRDefault="00465C5E"/>
        </w:tc>
        <w:tc>
          <w:tcPr>
            <w:tcW w:w="9489" w:type="dxa"/>
          </w:tcPr>
          <w:p w14:paraId="38DD6A3A" w14:textId="1A8CCEEE" w:rsidR="00494396" w:rsidRPr="00494396" w:rsidRDefault="00494396" w:rsidP="00494396">
            <w:pPr>
              <w:rPr>
                <w:b/>
                <w:bCs/>
              </w:rPr>
            </w:pPr>
            <w:r>
              <w:rPr>
                <w:b/>
                <w:bCs/>
              </w:rPr>
              <w:t>Training and Competence of Inspectors</w:t>
            </w:r>
          </w:p>
          <w:p w14:paraId="74936B2F" w14:textId="2E922D37" w:rsidR="00465C5E" w:rsidRDefault="00465C5E" w:rsidP="00A277F4">
            <w:pPr>
              <w:pStyle w:val="ListParagraph"/>
              <w:numPr>
                <w:ilvl w:val="0"/>
                <w:numId w:val="2"/>
              </w:numPr>
              <w:ind w:left="462" w:hanging="462"/>
            </w:pPr>
            <w:r>
              <w:t xml:space="preserve">There is no definition of what a </w:t>
            </w:r>
            <w:r w:rsidR="00E64708">
              <w:t>‘</w:t>
            </w:r>
            <w:r>
              <w:t>suitable qualified inspector</w:t>
            </w:r>
            <w:r w:rsidR="00E64708">
              <w:t>’</w:t>
            </w:r>
            <w:r>
              <w:t xml:space="preserve"> is in the context for ‘horses for hire’.  From our research:</w:t>
            </w:r>
          </w:p>
          <w:p w14:paraId="722A7464" w14:textId="613B7416" w:rsidR="00465C5E" w:rsidRPr="00AB6B8F" w:rsidRDefault="00465C5E" w:rsidP="00E64708">
            <w:pPr>
              <w:pStyle w:val="ListParagraph"/>
              <w:numPr>
                <w:ilvl w:val="1"/>
                <w:numId w:val="2"/>
              </w:numPr>
              <w:ind w:left="1029" w:hanging="567"/>
            </w:pPr>
            <w:r>
              <w:t>Suitable qualification seems to be a ‘</w:t>
            </w:r>
            <w:r w:rsidRPr="00A277F4">
              <w:t>Level 3 Certificate in Inspecting Licensable Activities Involving Animals</w:t>
            </w:r>
            <w:r>
              <w:t>’.</w:t>
            </w:r>
            <w:r w:rsidR="00E64708">
              <w:t xml:space="preserve">  </w:t>
            </w:r>
            <w:r>
              <w:t xml:space="preserve">There seems to be two providers:  The National Pet College and the Institute of Licensing’. </w:t>
            </w:r>
            <w:r w:rsidR="00E64708">
              <w:t xml:space="preserve"> </w:t>
            </w:r>
            <w:r>
              <w:t xml:space="preserve">Both offer online courses that provide an </w:t>
            </w:r>
            <w:r w:rsidRPr="00E64708">
              <w:rPr>
                <w:rFonts w:eastAsia="Times New Roman"/>
              </w:rPr>
              <w:t xml:space="preserve">understanding </w:t>
            </w:r>
            <w:r w:rsidR="00E64708">
              <w:rPr>
                <w:rFonts w:eastAsia="Times New Roman"/>
              </w:rPr>
              <w:t>of how the</w:t>
            </w:r>
            <w:r w:rsidRPr="00E64708">
              <w:rPr>
                <w:rFonts w:eastAsia="Times New Roman"/>
              </w:rPr>
              <w:t xml:space="preserve"> regulations</w:t>
            </w:r>
            <w:r w:rsidR="00E64708">
              <w:rPr>
                <w:rFonts w:eastAsia="Times New Roman"/>
              </w:rPr>
              <w:t xml:space="preserve"> should be applied</w:t>
            </w:r>
            <w:r w:rsidRPr="00E64708">
              <w:rPr>
                <w:rFonts w:eastAsia="Times New Roman"/>
              </w:rPr>
              <w:t xml:space="preserve"> but</w:t>
            </w:r>
            <w:r w:rsidR="00E64708">
              <w:rPr>
                <w:rFonts w:eastAsia="Times New Roman"/>
              </w:rPr>
              <w:t xml:space="preserve"> these courses</w:t>
            </w:r>
            <w:r w:rsidRPr="00E64708">
              <w:rPr>
                <w:rFonts w:eastAsia="Times New Roman"/>
              </w:rPr>
              <w:t xml:space="preserve"> lack</w:t>
            </w:r>
            <w:r w:rsidR="00E64708">
              <w:rPr>
                <w:rFonts w:eastAsia="Times New Roman"/>
              </w:rPr>
              <w:t xml:space="preserve"> a</w:t>
            </w:r>
            <w:r w:rsidRPr="00E64708">
              <w:rPr>
                <w:rFonts w:eastAsia="Times New Roman"/>
              </w:rPr>
              <w:t xml:space="preserve"> practical knowledge element associated </w:t>
            </w:r>
            <w:r w:rsidR="00E64708">
              <w:rPr>
                <w:rFonts w:eastAsia="Times New Roman"/>
              </w:rPr>
              <w:t>(</w:t>
            </w:r>
            <w:r w:rsidRPr="00E64708">
              <w:rPr>
                <w:rFonts w:eastAsia="Times New Roman"/>
              </w:rPr>
              <w:t>in our case</w:t>
            </w:r>
            <w:r w:rsidR="00E64708">
              <w:rPr>
                <w:rFonts w:eastAsia="Times New Roman"/>
              </w:rPr>
              <w:t xml:space="preserve">) with </w:t>
            </w:r>
            <w:r w:rsidRPr="00E64708">
              <w:rPr>
                <w:rFonts w:eastAsia="Times New Roman"/>
              </w:rPr>
              <w:t xml:space="preserve">equines.  </w:t>
            </w:r>
          </w:p>
          <w:p w14:paraId="2073ACC3" w14:textId="4CF13805" w:rsidR="00465C5E" w:rsidRPr="00AB6B8F" w:rsidRDefault="00465C5E" w:rsidP="00E64708">
            <w:pPr>
              <w:pStyle w:val="ListParagraph"/>
              <w:numPr>
                <w:ilvl w:val="0"/>
                <w:numId w:val="2"/>
              </w:numPr>
              <w:ind w:left="462" w:hanging="462"/>
            </w:pPr>
            <w:r>
              <w:rPr>
                <w:rFonts w:eastAsia="Times New Roman"/>
              </w:rPr>
              <w:lastRenderedPageBreak/>
              <w:t xml:space="preserve">The </w:t>
            </w:r>
            <w:r w:rsidRPr="00AB6B8F">
              <w:rPr>
                <w:rFonts w:eastAsia="Times New Roman"/>
              </w:rPr>
              <w:t xml:space="preserve">Horse Trust runs </w:t>
            </w:r>
            <w:r w:rsidRPr="00E64708">
              <w:t>supplementary</w:t>
            </w:r>
            <w:r w:rsidR="00E64708">
              <w:t xml:space="preserve"> one-day</w:t>
            </w:r>
            <w:r w:rsidRPr="00AB6B8F">
              <w:rPr>
                <w:rFonts w:eastAsia="Times New Roman"/>
              </w:rPr>
              <w:t xml:space="preserve"> training </w:t>
            </w:r>
            <w:r w:rsidR="00E64708">
              <w:rPr>
                <w:rFonts w:eastAsia="Times New Roman"/>
              </w:rPr>
              <w:t>course</w:t>
            </w:r>
            <w:r w:rsidRPr="00AB6B8F">
              <w:rPr>
                <w:rFonts w:eastAsia="Times New Roman"/>
              </w:rPr>
              <w:t xml:space="preserve"> at sites across the UK that are intended to partially fill this gap.</w:t>
            </w:r>
            <w:r w:rsidR="00E64708">
              <w:rPr>
                <w:rFonts w:eastAsia="Times New Roman"/>
              </w:rPr>
              <w:t xml:space="preserve">  Many LAs do send inspectors on these courses but they are not</w:t>
            </w:r>
            <w:r w:rsidR="00494396">
              <w:rPr>
                <w:rFonts w:eastAsia="Times New Roman"/>
              </w:rPr>
              <w:t xml:space="preserve"> a mandatory element of training; LAs</w:t>
            </w:r>
            <w:r w:rsidRPr="00AB6B8F">
              <w:rPr>
                <w:rFonts w:eastAsia="Times New Roman"/>
              </w:rPr>
              <w:t xml:space="preserve"> with few licensed riding schools may not consider investment in additional training good value for money.  </w:t>
            </w:r>
          </w:p>
          <w:p w14:paraId="782CC021" w14:textId="67A39AF5" w:rsidR="00465C5E" w:rsidRPr="00B7793F" w:rsidRDefault="00494396" w:rsidP="00494396">
            <w:pPr>
              <w:pStyle w:val="ListParagraph"/>
              <w:numPr>
                <w:ilvl w:val="0"/>
                <w:numId w:val="2"/>
              </w:numPr>
              <w:ind w:left="462" w:hanging="462"/>
            </w:pPr>
            <w:r>
              <w:rPr>
                <w:rFonts w:eastAsia="Times New Roman"/>
              </w:rPr>
              <w:t>We understand that, four years into the Animal Welfare Regulations, n</w:t>
            </w:r>
            <w:r w:rsidR="00465C5E" w:rsidRPr="00AB6B8F">
              <w:rPr>
                <w:rFonts w:eastAsia="Times New Roman"/>
              </w:rPr>
              <w:t>ot all Inspectors have completed the L3 training</w:t>
            </w:r>
            <w:r w:rsidR="00465C5E">
              <w:rPr>
                <w:rFonts w:eastAsia="Times New Roman"/>
              </w:rPr>
              <w:t>.</w:t>
            </w:r>
          </w:p>
          <w:p w14:paraId="7CD2380C" w14:textId="5E81243F" w:rsidR="00465C5E" w:rsidRPr="00B7793F" w:rsidRDefault="00494396" w:rsidP="00494396">
            <w:pPr>
              <w:pStyle w:val="ListParagraph"/>
              <w:numPr>
                <w:ilvl w:val="0"/>
                <w:numId w:val="2"/>
              </w:numPr>
              <w:ind w:left="462" w:hanging="462"/>
            </w:pPr>
            <w:r>
              <w:rPr>
                <w:rFonts w:eastAsia="Times New Roman"/>
              </w:rPr>
              <w:t>We note that t</w:t>
            </w:r>
            <w:r w:rsidR="00465C5E" w:rsidRPr="00AB6B8F">
              <w:rPr>
                <w:rFonts w:eastAsia="Times New Roman"/>
              </w:rPr>
              <w:t>here is no requirement for Licencing Inspectors to conduct CPD.</w:t>
            </w:r>
          </w:p>
          <w:p w14:paraId="67B6E725" w14:textId="43BDF325" w:rsidR="00465C5E" w:rsidRDefault="00465C5E" w:rsidP="00B7793F">
            <w:pPr>
              <w:pStyle w:val="ListParagraph"/>
              <w:numPr>
                <w:ilvl w:val="0"/>
                <w:numId w:val="2"/>
              </w:numPr>
              <w:ind w:left="462" w:hanging="462"/>
              <w:rPr>
                <w:i/>
                <w:iCs/>
              </w:rPr>
            </w:pPr>
            <w:r w:rsidRPr="00B7793F">
              <w:rPr>
                <w:i/>
                <w:iCs/>
              </w:rPr>
              <w:t xml:space="preserve">We believe that the </w:t>
            </w:r>
            <w:r>
              <w:rPr>
                <w:i/>
                <w:iCs/>
              </w:rPr>
              <w:t xml:space="preserve">required </w:t>
            </w:r>
            <w:r w:rsidRPr="00B7793F">
              <w:rPr>
                <w:i/>
                <w:iCs/>
              </w:rPr>
              <w:t>knowledge and</w:t>
            </w:r>
            <w:r>
              <w:rPr>
                <w:i/>
                <w:iCs/>
              </w:rPr>
              <w:t xml:space="preserve"> experience requirements for LA Inspectors are ill-defined and insufficient to deliver the purposes of the legislation.</w:t>
            </w:r>
          </w:p>
          <w:p w14:paraId="18478EED" w14:textId="6E397D8B" w:rsidR="00465C5E" w:rsidRPr="00733B7D" w:rsidRDefault="00465C5E" w:rsidP="00733B7D">
            <w:pPr>
              <w:pStyle w:val="ListParagraph"/>
              <w:numPr>
                <w:ilvl w:val="0"/>
                <w:numId w:val="2"/>
              </w:numPr>
              <w:ind w:left="462" w:hanging="462"/>
              <w:rPr>
                <w:i/>
                <w:iCs/>
              </w:rPr>
            </w:pPr>
            <w:r>
              <w:rPr>
                <w:i/>
                <w:iCs/>
              </w:rPr>
              <w:t>We believe training must include a structured practical element.</w:t>
            </w:r>
            <w:r w:rsidRPr="00733B7D">
              <w:rPr>
                <w:i/>
                <w:iCs/>
              </w:rPr>
              <w:t xml:space="preserve"> </w:t>
            </w:r>
            <w:r>
              <w:rPr>
                <w:i/>
                <w:iCs/>
              </w:rPr>
              <w:t>This</w:t>
            </w:r>
            <w:r w:rsidR="00494396">
              <w:rPr>
                <w:i/>
                <w:iCs/>
              </w:rPr>
              <w:t xml:space="preserve"> should</w:t>
            </w:r>
            <w:r>
              <w:rPr>
                <w:i/>
                <w:iCs/>
              </w:rPr>
              <w:t xml:space="preserve"> could be through </w:t>
            </w:r>
            <w:r w:rsidRPr="00733B7D">
              <w:rPr>
                <w:i/>
                <w:iCs/>
              </w:rPr>
              <w:t>a</w:t>
            </w:r>
            <w:r>
              <w:rPr>
                <w:i/>
                <w:iCs/>
              </w:rPr>
              <w:t xml:space="preserve"> supplementary</w:t>
            </w:r>
            <w:r w:rsidRPr="00733B7D">
              <w:rPr>
                <w:i/>
                <w:iCs/>
              </w:rPr>
              <w:t xml:space="preserve"> equine-specific training</w:t>
            </w:r>
            <w:r>
              <w:rPr>
                <w:i/>
                <w:iCs/>
              </w:rPr>
              <w:t xml:space="preserve"> course </w:t>
            </w:r>
            <w:r w:rsidR="00494396">
              <w:rPr>
                <w:i/>
                <w:iCs/>
              </w:rPr>
              <w:t xml:space="preserve">which could be </w:t>
            </w:r>
            <w:r>
              <w:rPr>
                <w:i/>
                <w:iCs/>
              </w:rPr>
              <w:t>provided by</w:t>
            </w:r>
            <w:r w:rsidRPr="00733B7D">
              <w:rPr>
                <w:i/>
                <w:iCs/>
              </w:rPr>
              <w:t xml:space="preserve"> British Equestrian</w:t>
            </w:r>
            <w:r>
              <w:rPr>
                <w:i/>
                <w:iCs/>
              </w:rPr>
              <w:t xml:space="preserve"> </w:t>
            </w:r>
            <w:r w:rsidR="00494396">
              <w:rPr>
                <w:i/>
                <w:iCs/>
              </w:rPr>
              <w:t>(</w:t>
            </w:r>
            <w:r>
              <w:rPr>
                <w:i/>
                <w:iCs/>
              </w:rPr>
              <w:t>or its member bodies</w:t>
            </w:r>
            <w:r w:rsidR="00494396">
              <w:rPr>
                <w:i/>
                <w:iCs/>
              </w:rPr>
              <w:t>) or an organisation such as the House Trust/World Horse Welfare/Redwings.</w:t>
            </w:r>
            <w:r>
              <w:rPr>
                <w:i/>
                <w:iCs/>
              </w:rPr>
              <w:t>.</w:t>
            </w:r>
          </w:p>
          <w:p w14:paraId="78241160" w14:textId="26EB343D" w:rsidR="00465C5E" w:rsidRDefault="00465C5E" w:rsidP="00B7793F">
            <w:pPr>
              <w:pStyle w:val="ListParagraph"/>
              <w:numPr>
                <w:ilvl w:val="0"/>
                <w:numId w:val="2"/>
              </w:numPr>
              <w:ind w:left="462" w:hanging="462"/>
              <w:rPr>
                <w:i/>
                <w:iCs/>
              </w:rPr>
            </w:pPr>
            <w:r>
              <w:rPr>
                <w:i/>
                <w:iCs/>
              </w:rPr>
              <w:t>We believe that inspectors should be required to undertake and evidence CPD (they expect the licensees to do do).</w:t>
            </w:r>
          </w:p>
          <w:p w14:paraId="283FCF58" w14:textId="093E998D" w:rsidR="00494396" w:rsidRPr="00494396" w:rsidRDefault="00494396" w:rsidP="00494396">
            <w:pPr>
              <w:rPr>
                <w:b/>
                <w:bCs/>
              </w:rPr>
            </w:pPr>
            <w:r>
              <w:rPr>
                <w:b/>
                <w:bCs/>
              </w:rPr>
              <w:t>Inconsistent Application of the Regulations</w:t>
            </w:r>
          </w:p>
          <w:p w14:paraId="1B266E6B" w14:textId="66C014A0" w:rsidR="00465C5E" w:rsidRPr="00B24D6D" w:rsidRDefault="00465C5E" w:rsidP="00B24D6D">
            <w:pPr>
              <w:pStyle w:val="ListParagraph"/>
              <w:numPr>
                <w:ilvl w:val="0"/>
                <w:numId w:val="2"/>
              </w:numPr>
              <w:ind w:left="462" w:hanging="462"/>
              <w:rPr>
                <w:i/>
                <w:iCs/>
              </w:rPr>
            </w:pPr>
            <w:r>
              <w:t>Practically, we see an inconsistent application of the regulations across LAs, manifested in inspections being:</w:t>
            </w:r>
          </w:p>
          <w:p w14:paraId="63FD727A" w14:textId="64DA4B41" w:rsidR="00465C5E" w:rsidRPr="00B24D6D" w:rsidRDefault="00465C5E" w:rsidP="00B24D6D">
            <w:pPr>
              <w:pStyle w:val="ListParagraph"/>
              <w:numPr>
                <w:ilvl w:val="1"/>
                <w:numId w:val="2"/>
              </w:numPr>
              <w:ind w:left="1029" w:hanging="567"/>
            </w:pPr>
            <w:r>
              <w:t>Bureaucratic - overfocusing on paperwork (with no understanding of the acceptability of the content).</w:t>
            </w:r>
          </w:p>
          <w:p w14:paraId="1DD004EF" w14:textId="46CFF385" w:rsidR="00465C5E" w:rsidRPr="00B24D6D" w:rsidRDefault="00465C5E" w:rsidP="00B24D6D">
            <w:pPr>
              <w:pStyle w:val="ListParagraph"/>
              <w:numPr>
                <w:ilvl w:val="1"/>
                <w:numId w:val="2"/>
              </w:numPr>
              <w:ind w:left="1029" w:hanging="567"/>
            </w:pPr>
            <w:r>
              <w:t>Ineffective – not really understanding whether what they see is actually good or poor practice.</w:t>
            </w:r>
          </w:p>
          <w:p w14:paraId="6B32B922" w14:textId="067526AB" w:rsidR="00465C5E" w:rsidRPr="00B24D6D" w:rsidRDefault="00465C5E" w:rsidP="00B24D6D">
            <w:pPr>
              <w:pStyle w:val="ListParagraph"/>
              <w:numPr>
                <w:ilvl w:val="1"/>
                <w:numId w:val="2"/>
              </w:numPr>
              <w:ind w:left="1029" w:hanging="567"/>
            </w:pPr>
            <w:r>
              <w:t>Overdependent on the Listed Vet – who effectively ends up conducting the inspection – at significant cost to the licence holder.</w:t>
            </w:r>
          </w:p>
          <w:p w14:paraId="447AFBF0" w14:textId="738EB15A" w:rsidR="00465C5E" w:rsidRPr="00B24D6D" w:rsidRDefault="00465C5E" w:rsidP="00B24D6D">
            <w:pPr>
              <w:pStyle w:val="ListParagraph"/>
              <w:numPr>
                <w:ilvl w:val="0"/>
                <w:numId w:val="2"/>
              </w:numPr>
              <w:ind w:left="462" w:hanging="462"/>
              <w:rPr>
                <w:i/>
                <w:iCs/>
              </w:rPr>
            </w:pPr>
            <w:r>
              <w:t>We note that not all Inspectors are poor.  The larger LAs are often more effective because they conduct more inspections which enables experience to be gained, teams to be built and coaching provided to those in the team that are less experienced.</w:t>
            </w:r>
          </w:p>
          <w:p w14:paraId="14EE1F6E" w14:textId="2506CADC" w:rsidR="00465C5E" w:rsidRPr="00B24D6D" w:rsidRDefault="00465C5E" w:rsidP="00B24D6D">
            <w:pPr>
              <w:pStyle w:val="ListParagraph"/>
              <w:numPr>
                <w:ilvl w:val="0"/>
                <w:numId w:val="2"/>
              </w:numPr>
              <w:ind w:left="462" w:hanging="462"/>
              <w:rPr>
                <w:i/>
                <w:iCs/>
              </w:rPr>
            </w:pPr>
            <w:r>
              <w:rPr>
                <w:i/>
                <w:iCs/>
              </w:rPr>
              <w:t>We believe LAs that conduct few inspections should group with neighbouring LAs to create teams that have a critical mass of inspections and inspectors – this</w:t>
            </w:r>
            <w:r w:rsidR="00494396">
              <w:rPr>
                <w:i/>
                <w:iCs/>
              </w:rPr>
              <w:t>, in addition to better training,</w:t>
            </w:r>
            <w:r>
              <w:rPr>
                <w:i/>
                <w:iCs/>
              </w:rPr>
              <w:t xml:space="preserve"> offers a </w:t>
            </w:r>
            <w:r w:rsidR="00494396">
              <w:rPr>
                <w:i/>
                <w:iCs/>
              </w:rPr>
              <w:t>greater</w:t>
            </w:r>
            <w:r>
              <w:rPr>
                <w:i/>
                <w:iCs/>
              </w:rPr>
              <w:t xml:space="preserve"> chance of</w:t>
            </w:r>
            <w:r w:rsidR="00494396">
              <w:rPr>
                <w:i/>
                <w:iCs/>
              </w:rPr>
              <w:t xml:space="preserve"> Inspectors and</w:t>
            </w:r>
            <w:r>
              <w:rPr>
                <w:i/>
                <w:iCs/>
              </w:rPr>
              <w:t xml:space="preserve"> inspections being </w:t>
            </w:r>
            <w:r w:rsidR="00494396">
              <w:rPr>
                <w:i/>
                <w:iCs/>
              </w:rPr>
              <w:t xml:space="preserve">fair and </w:t>
            </w:r>
            <w:r>
              <w:rPr>
                <w:i/>
                <w:iCs/>
              </w:rPr>
              <w:t>effective.</w:t>
            </w:r>
          </w:p>
        </w:tc>
      </w:tr>
      <w:tr w:rsidR="00465C5E" w14:paraId="1686BC59" w14:textId="0E3879EF" w:rsidTr="00465C5E">
        <w:tc>
          <w:tcPr>
            <w:tcW w:w="1517" w:type="dxa"/>
            <w:vMerge/>
          </w:tcPr>
          <w:p w14:paraId="1855218E" w14:textId="77777777" w:rsidR="00465C5E" w:rsidRDefault="00465C5E"/>
        </w:tc>
        <w:tc>
          <w:tcPr>
            <w:tcW w:w="3023" w:type="dxa"/>
          </w:tcPr>
          <w:p w14:paraId="14F50327" w14:textId="5DC6F4F9" w:rsidR="00465C5E" w:rsidRDefault="00465C5E">
            <w:r>
              <w:t>4(7)(a) - T</w:t>
            </w:r>
            <w:r w:rsidRPr="00121DEE">
              <w:t>he applicant is a fit and proper person</w:t>
            </w:r>
          </w:p>
        </w:tc>
        <w:tc>
          <w:tcPr>
            <w:tcW w:w="9489" w:type="dxa"/>
          </w:tcPr>
          <w:p w14:paraId="2345EADB" w14:textId="2A489133" w:rsidR="00465C5E" w:rsidRDefault="00465C5E" w:rsidP="00ED73DF">
            <w:pPr>
              <w:pStyle w:val="ListParagraph"/>
              <w:numPr>
                <w:ilvl w:val="0"/>
                <w:numId w:val="2"/>
              </w:numPr>
              <w:ind w:left="462" w:hanging="462"/>
            </w:pPr>
            <w:r>
              <w:t>The licence focuses on animal welfare and results in a ‘</w:t>
            </w:r>
            <w:r w:rsidR="00494396">
              <w:t>S</w:t>
            </w:r>
            <w:r>
              <w:t xml:space="preserve">tar </w:t>
            </w:r>
            <w:r w:rsidR="00494396">
              <w:t>R</w:t>
            </w:r>
            <w:r>
              <w:t>ating’</w:t>
            </w:r>
            <w:r w:rsidR="00494396">
              <w:t>.  Riding S</w:t>
            </w:r>
            <w:r>
              <w:t>chools often use</w:t>
            </w:r>
            <w:r w:rsidR="00494396">
              <w:t xml:space="preserve"> the Star Rating</w:t>
            </w:r>
            <w:r>
              <w:t xml:space="preserve"> in marketing material</w:t>
            </w:r>
            <w:r w:rsidR="00494396">
              <w:t xml:space="preserve"> and as a Quality Mark</w:t>
            </w:r>
            <w:r>
              <w:t xml:space="preserve">.  </w:t>
            </w:r>
            <w:r w:rsidR="00494396">
              <w:t>However, the</w:t>
            </w:r>
            <w:r>
              <w:t xml:space="preserve"> ‘</w:t>
            </w:r>
            <w:r w:rsidR="00494396">
              <w:t>S</w:t>
            </w:r>
            <w:r>
              <w:t xml:space="preserve">tar </w:t>
            </w:r>
            <w:r w:rsidR="00494396">
              <w:t>R</w:t>
            </w:r>
            <w:r>
              <w:t xml:space="preserve">ating’ </w:t>
            </w:r>
            <w:r w:rsidR="00494396">
              <w:t>can be highly</w:t>
            </w:r>
            <w:r>
              <w:t xml:space="preserve"> </w:t>
            </w:r>
            <w:r>
              <w:lastRenderedPageBreak/>
              <w:t>misleading</w:t>
            </w:r>
            <w:r w:rsidR="00494396">
              <w:t xml:space="preserve">, with </w:t>
            </w:r>
            <w:r>
              <w:t>clients believ</w:t>
            </w:r>
            <w:r w:rsidR="00494396">
              <w:t>ing</w:t>
            </w:r>
            <w:r>
              <w:t xml:space="preserve"> that the licence covers all aspects of the licensee</w:t>
            </w:r>
            <w:r w:rsidR="0054535C">
              <w:t>’s</w:t>
            </w:r>
            <w:r>
              <w:t xml:space="preserve"> operation, </w:t>
            </w:r>
            <w:r w:rsidR="0054535C">
              <w:t>and specifically</w:t>
            </w:r>
            <w:r>
              <w:t xml:space="preserve"> client care (for example – safeguarding, teaching standards, etc).  </w:t>
            </w:r>
          </w:p>
          <w:p w14:paraId="62F4630D" w14:textId="68F0C414" w:rsidR="00465C5E" w:rsidRPr="00ED73DF" w:rsidRDefault="0054535C" w:rsidP="00ED73DF">
            <w:pPr>
              <w:pStyle w:val="ListParagraph"/>
              <w:numPr>
                <w:ilvl w:val="0"/>
                <w:numId w:val="2"/>
              </w:numPr>
              <w:ind w:left="462" w:hanging="462"/>
            </w:pPr>
            <w:r>
              <w:rPr>
                <w:i/>
                <w:iCs/>
              </w:rPr>
              <w:t>We acknowledge that the Regulations were written to improve animal welfare and not to deliver a business quality mark, but w</w:t>
            </w:r>
            <w:r w:rsidR="00465C5E">
              <w:rPr>
                <w:i/>
                <w:iCs/>
              </w:rPr>
              <w:t>e believe</w:t>
            </w:r>
            <w:r>
              <w:rPr>
                <w:i/>
                <w:iCs/>
              </w:rPr>
              <w:t xml:space="preserve"> also that the misleading nature of the Star Rating needs to be addressed (in part or full).  Within the Regulations, it makes clear that the licensee must be a ‘fit and proper’ person.  We believe the </w:t>
            </w:r>
            <w:r w:rsidR="00465C5E">
              <w:rPr>
                <w:i/>
                <w:iCs/>
              </w:rPr>
              <w:t>definition for a ‘fit and proper’ person should/could include</w:t>
            </w:r>
            <w:r>
              <w:rPr>
                <w:i/>
                <w:iCs/>
              </w:rPr>
              <w:t xml:space="preserve"> aspects of client care, including the following checks</w:t>
            </w:r>
            <w:r w:rsidR="00465C5E">
              <w:rPr>
                <w:i/>
                <w:iCs/>
              </w:rPr>
              <w:t>:</w:t>
            </w:r>
          </w:p>
          <w:p w14:paraId="1CCDDA34" w14:textId="77777777" w:rsidR="00465C5E" w:rsidRPr="00CD63B5" w:rsidRDefault="00465C5E" w:rsidP="00CD63B5">
            <w:pPr>
              <w:pStyle w:val="ListParagraph"/>
              <w:numPr>
                <w:ilvl w:val="1"/>
                <w:numId w:val="2"/>
              </w:numPr>
              <w:ind w:left="1029" w:hanging="567"/>
            </w:pPr>
            <w:r>
              <w:rPr>
                <w:b/>
                <w:bCs/>
                <w:i/>
                <w:iCs/>
              </w:rPr>
              <w:t xml:space="preserve">Trading Fairly with Clients </w:t>
            </w:r>
            <w:r>
              <w:rPr>
                <w:i/>
                <w:iCs/>
              </w:rPr>
              <w:t>– no record of criminal or fraudulent behaviour</w:t>
            </w:r>
          </w:p>
          <w:p w14:paraId="6EC9ECEA" w14:textId="30CC702E" w:rsidR="00465C5E" w:rsidRPr="00CD63B5" w:rsidRDefault="00465C5E" w:rsidP="00CD63B5">
            <w:pPr>
              <w:pStyle w:val="ListParagraph"/>
              <w:numPr>
                <w:ilvl w:val="1"/>
                <w:numId w:val="2"/>
              </w:numPr>
              <w:ind w:left="1029" w:hanging="567"/>
              <w:rPr>
                <w:i/>
                <w:iCs/>
              </w:rPr>
            </w:pPr>
            <w:r w:rsidRPr="00CD63B5">
              <w:rPr>
                <w:rFonts w:cs="Arial"/>
                <w:b/>
                <w:i/>
                <w:iCs/>
              </w:rPr>
              <w:t>Provid</w:t>
            </w:r>
            <w:r w:rsidR="0054535C">
              <w:rPr>
                <w:rFonts w:cs="Arial"/>
                <w:b/>
                <w:i/>
                <w:iCs/>
              </w:rPr>
              <w:t>ing</w:t>
            </w:r>
            <w:r w:rsidRPr="00CD63B5">
              <w:rPr>
                <w:rFonts w:cs="Arial"/>
                <w:b/>
                <w:i/>
                <w:iCs/>
              </w:rPr>
              <w:t xml:space="preserve"> safe facilities and riding environment</w:t>
            </w:r>
            <w:r>
              <w:rPr>
                <w:rFonts w:cs="Arial"/>
                <w:bCs/>
                <w:i/>
                <w:iCs/>
              </w:rPr>
              <w:t xml:space="preserve"> – No record of significant health and safety breaches and evidence of safeguarding (DBS enhanced, safeguarding training, First Aid at Work)</w:t>
            </w:r>
          </w:p>
          <w:p w14:paraId="7A8063B3" w14:textId="2D586576" w:rsidR="00465C5E" w:rsidRPr="00742AAF" w:rsidRDefault="00465C5E" w:rsidP="00CD63B5">
            <w:pPr>
              <w:pStyle w:val="ListParagraph"/>
              <w:numPr>
                <w:ilvl w:val="1"/>
                <w:numId w:val="2"/>
              </w:numPr>
              <w:ind w:left="1029" w:hanging="567"/>
              <w:rPr>
                <w:b/>
                <w:bCs/>
                <w:i/>
                <w:iCs/>
              </w:rPr>
            </w:pPr>
            <w:r w:rsidRPr="00CD63B5">
              <w:rPr>
                <w:rFonts w:cs="Arial"/>
                <w:b/>
                <w:bCs/>
                <w:i/>
                <w:iCs/>
              </w:rPr>
              <w:t>Act</w:t>
            </w:r>
            <w:r w:rsidR="0054535C">
              <w:rPr>
                <w:rFonts w:cs="Arial"/>
                <w:b/>
                <w:bCs/>
                <w:i/>
                <w:iCs/>
              </w:rPr>
              <w:t>ing</w:t>
            </w:r>
            <w:r w:rsidRPr="00CD63B5">
              <w:rPr>
                <w:rFonts w:cs="Arial"/>
                <w:b/>
                <w:bCs/>
                <w:i/>
                <w:iCs/>
              </w:rPr>
              <w:t xml:space="preserve"> as a good employer</w:t>
            </w:r>
            <w:r>
              <w:rPr>
                <w:rFonts w:cs="Arial"/>
                <w:b/>
                <w:bCs/>
                <w:i/>
                <w:iCs/>
              </w:rPr>
              <w:t xml:space="preserve"> – </w:t>
            </w:r>
            <w:r>
              <w:rPr>
                <w:rFonts w:cs="Arial"/>
                <w:i/>
                <w:iCs/>
              </w:rPr>
              <w:t>No evidence of breeches in employment law</w:t>
            </w:r>
          </w:p>
          <w:p w14:paraId="27AA776E" w14:textId="3129C08A" w:rsidR="00465C5E" w:rsidRPr="00AD30DE" w:rsidRDefault="00465C5E" w:rsidP="00742AAF">
            <w:pPr>
              <w:pStyle w:val="ListParagraph"/>
              <w:numPr>
                <w:ilvl w:val="0"/>
                <w:numId w:val="2"/>
              </w:numPr>
              <w:ind w:left="462" w:hanging="462"/>
              <w:rPr>
                <w:b/>
                <w:bCs/>
                <w:i/>
                <w:iCs/>
              </w:rPr>
            </w:pPr>
            <w:r w:rsidRPr="00AD30DE">
              <w:rPr>
                <w:i/>
                <w:iCs/>
              </w:rPr>
              <w:t xml:space="preserve">We believe that there may be scope to </w:t>
            </w:r>
            <w:r w:rsidR="0054535C">
              <w:rPr>
                <w:i/>
                <w:iCs/>
              </w:rPr>
              <w:t>allow ‘f</w:t>
            </w:r>
            <w:r w:rsidRPr="00AD30DE">
              <w:rPr>
                <w:i/>
                <w:iCs/>
              </w:rPr>
              <w:t xml:space="preserve">it and </w:t>
            </w:r>
            <w:r w:rsidR="0054535C">
              <w:rPr>
                <w:i/>
                <w:iCs/>
              </w:rPr>
              <w:t>p</w:t>
            </w:r>
            <w:r w:rsidRPr="00AD30DE">
              <w:rPr>
                <w:i/>
                <w:iCs/>
              </w:rPr>
              <w:t>roper</w:t>
            </w:r>
            <w:r w:rsidR="0054535C">
              <w:rPr>
                <w:i/>
                <w:iCs/>
              </w:rPr>
              <w:t>’</w:t>
            </w:r>
            <w:r w:rsidRPr="00AD30DE">
              <w:rPr>
                <w:i/>
                <w:iCs/>
              </w:rPr>
              <w:t xml:space="preserve"> to be evidenced through membership of a Professional </w:t>
            </w:r>
            <w:r w:rsidR="0054535C">
              <w:rPr>
                <w:i/>
                <w:iCs/>
              </w:rPr>
              <w:t xml:space="preserve">Membership </w:t>
            </w:r>
            <w:r w:rsidRPr="00AD30DE">
              <w:rPr>
                <w:i/>
                <w:iCs/>
              </w:rPr>
              <w:t>Organisation such as the BHS</w:t>
            </w:r>
            <w:r w:rsidR="0054535C">
              <w:rPr>
                <w:i/>
                <w:iCs/>
              </w:rPr>
              <w:t xml:space="preserve">, </w:t>
            </w:r>
            <w:r w:rsidRPr="00AD30DE">
              <w:rPr>
                <w:i/>
                <w:iCs/>
              </w:rPr>
              <w:t>ABRS</w:t>
            </w:r>
            <w:r w:rsidR="0054535C">
              <w:rPr>
                <w:i/>
                <w:iCs/>
              </w:rPr>
              <w:t xml:space="preserve"> or Riding for the Disabled (RDA)</w:t>
            </w:r>
            <w:r w:rsidRPr="00AD30DE">
              <w:rPr>
                <w:i/>
                <w:iCs/>
              </w:rPr>
              <w:t xml:space="preserve"> that has Codes of Conduct, undertakes checks as a function of membership application/renewal</w:t>
            </w:r>
            <w:r w:rsidR="0054535C">
              <w:rPr>
                <w:i/>
                <w:iCs/>
              </w:rPr>
              <w:t>, and has a complaints procedure</w:t>
            </w:r>
            <w:r w:rsidRPr="00AD30DE">
              <w:rPr>
                <w:i/>
                <w:iCs/>
              </w:rPr>
              <w:t>.</w:t>
            </w:r>
          </w:p>
        </w:tc>
      </w:tr>
      <w:tr w:rsidR="00465C5E" w14:paraId="305009F9" w14:textId="51B473E0" w:rsidTr="00465C5E">
        <w:tc>
          <w:tcPr>
            <w:tcW w:w="1517" w:type="dxa"/>
            <w:vMerge/>
          </w:tcPr>
          <w:p w14:paraId="3E10F1EC" w14:textId="77777777" w:rsidR="00465C5E" w:rsidRDefault="00465C5E"/>
        </w:tc>
        <w:tc>
          <w:tcPr>
            <w:tcW w:w="3023" w:type="dxa"/>
          </w:tcPr>
          <w:p w14:paraId="2B1DC660" w14:textId="26EECBDE" w:rsidR="00465C5E" w:rsidRDefault="00465C5E">
            <w:r>
              <w:t>13.  Fees</w:t>
            </w:r>
          </w:p>
        </w:tc>
        <w:tc>
          <w:tcPr>
            <w:tcW w:w="9489" w:type="dxa"/>
          </w:tcPr>
          <w:p w14:paraId="6AB1F52C" w14:textId="4A712A5A" w:rsidR="00465C5E" w:rsidRPr="00991B97" w:rsidRDefault="00465C5E" w:rsidP="00991B97">
            <w:pPr>
              <w:pStyle w:val="ListParagraph"/>
              <w:numPr>
                <w:ilvl w:val="0"/>
                <w:numId w:val="2"/>
              </w:numPr>
              <w:ind w:left="462" w:hanging="462"/>
              <w:rPr>
                <w:rFonts w:eastAsia="Times New Roman"/>
              </w:rPr>
            </w:pPr>
            <w:r w:rsidRPr="00991B97">
              <w:rPr>
                <w:rFonts w:eastAsia="Times New Roman"/>
              </w:rPr>
              <w:t xml:space="preserve">The cost of licensing and the structure of charges varies hugely across </w:t>
            </w:r>
            <w:r>
              <w:rPr>
                <w:rFonts w:eastAsia="Times New Roman"/>
              </w:rPr>
              <w:t>LAs</w:t>
            </w:r>
            <w:r w:rsidRPr="00991B97">
              <w:rPr>
                <w:rFonts w:eastAsia="Times New Roman"/>
              </w:rPr>
              <w:t xml:space="preserve">, with many increasing their costs significantly in the forthcoming financial year.  The whole charging process </w:t>
            </w:r>
            <w:r w:rsidR="0054535C">
              <w:rPr>
                <w:rFonts w:eastAsia="Times New Roman"/>
              </w:rPr>
              <w:t xml:space="preserve">is something of </w:t>
            </w:r>
            <w:r w:rsidRPr="00991B97">
              <w:rPr>
                <w:rFonts w:eastAsia="Times New Roman"/>
              </w:rPr>
              <w:t xml:space="preserve">a ‘postcode lottery’, with some riding establishments paying significantly more or less dependent on location.  </w:t>
            </w:r>
            <w:r>
              <w:rPr>
                <w:rFonts w:eastAsia="Times New Roman"/>
              </w:rPr>
              <w:t xml:space="preserve">We </w:t>
            </w:r>
            <w:r w:rsidR="0054535C">
              <w:rPr>
                <w:rFonts w:eastAsia="Times New Roman"/>
              </w:rPr>
              <w:t>understand</w:t>
            </w:r>
            <w:r>
              <w:rPr>
                <w:rFonts w:eastAsia="Times New Roman"/>
              </w:rPr>
              <w:t xml:space="preserve"> that there was a UK Supreme Court ruling which required that the charge structure should include elements for Application and Ongoing Maintenance.  We have seen models that include a single charge that covers the full licence period, others that include annual charges and others that have </w:t>
            </w:r>
            <w:r w:rsidR="0054535C">
              <w:rPr>
                <w:rFonts w:eastAsia="Times New Roman"/>
              </w:rPr>
              <w:t xml:space="preserve">demanded </w:t>
            </w:r>
            <w:r>
              <w:rPr>
                <w:rFonts w:eastAsia="Times New Roman"/>
              </w:rPr>
              <w:t>a ‘grant’ (which must be illegal).</w:t>
            </w:r>
            <w:r w:rsidR="0054535C">
              <w:rPr>
                <w:rFonts w:eastAsia="Times New Roman"/>
              </w:rPr>
              <w:t xml:space="preserve"> </w:t>
            </w:r>
          </w:p>
          <w:p w14:paraId="1339D79A" w14:textId="61BD8A31" w:rsidR="00465C5E" w:rsidRDefault="00465C5E" w:rsidP="000A0085">
            <w:pPr>
              <w:pStyle w:val="ListParagraph"/>
              <w:numPr>
                <w:ilvl w:val="0"/>
                <w:numId w:val="2"/>
              </w:numPr>
              <w:ind w:left="462" w:hanging="462"/>
              <w:rPr>
                <w:rFonts w:eastAsia="Times New Roman"/>
              </w:rPr>
            </w:pPr>
            <w:r>
              <w:rPr>
                <w:rFonts w:eastAsia="Times New Roman"/>
              </w:rPr>
              <w:t>T</w:t>
            </w:r>
            <w:r w:rsidRPr="00991B97">
              <w:rPr>
                <w:rFonts w:eastAsia="Times New Roman"/>
              </w:rPr>
              <w:t xml:space="preserve">he demarcation between the role/responsibility of the </w:t>
            </w:r>
            <w:r>
              <w:rPr>
                <w:rFonts w:eastAsia="Times New Roman"/>
              </w:rPr>
              <w:t xml:space="preserve">LA </w:t>
            </w:r>
            <w:r w:rsidRPr="00991B97">
              <w:rPr>
                <w:rFonts w:eastAsia="Times New Roman"/>
              </w:rPr>
              <w:t>Inspector and the Listed Vet is often blurred, with the Vet often taking on an advisory/supporting (and sometimes dominant) role during the inspection process.  This results in Vets spending many more hours on site than would be demanded by their statutory role – an</w:t>
            </w:r>
            <w:r w:rsidR="006E645D">
              <w:rPr>
                <w:rFonts w:eastAsia="Times New Roman"/>
              </w:rPr>
              <w:t xml:space="preserve">d </w:t>
            </w:r>
            <w:r w:rsidRPr="00991B97">
              <w:rPr>
                <w:rFonts w:eastAsia="Times New Roman"/>
              </w:rPr>
              <w:t xml:space="preserve">this is reflected in the charges.  </w:t>
            </w:r>
          </w:p>
          <w:p w14:paraId="48177958" w14:textId="626789B5" w:rsidR="00465C5E" w:rsidRPr="00991B97" w:rsidRDefault="00465C5E" w:rsidP="000A0085">
            <w:pPr>
              <w:pStyle w:val="ListParagraph"/>
              <w:numPr>
                <w:ilvl w:val="0"/>
                <w:numId w:val="2"/>
              </w:numPr>
              <w:ind w:left="462" w:hanging="462"/>
              <w:rPr>
                <w:rFonts w:eastAsia="Times New Roman"/>
              </w:rPr>
            </w:pPr>
            <w:r w:rsidRPr="00991B97">
              <w:rPr>
                <w:rFonts w:eastAsia="Times New Roman"/>
              </w:rPr>
              <w:t>A licen</w:t>
            </w:r>
            <w:r w:rsidR="006E645D">
              <w:rPr>
                <w:rFonts w:eastAsia="Times New Roman"/>
              </w:rPr>
              <w:t>c</w:t>
            </w:r>
            <w:r w:rsidRPr="00991B97">
              <w:rPr>
                <w:rFonts w:eastAsia="Times New Roman"/>
              </w:rPr>
              <w:t xml:space="preserve">e inspection </w:t>
            </w:r>
            <w:r w:rsidR="006E645D">
              <w:rPr>
                <w:rFonts w:eastAsia="Times New Roman"/>
              </w:rPr>
              <w:t>by the LA</w:t>
            </w:r>
            <w:r w:rsidRPr="00991B97">
              <w:rPr>
                <w:rFonts w:eastAsia="Times New Roman"/>
              </w:rPr>
              <w:t xml:space="preserve"> and Vet now cost</w:t>
            </w:r>
            <w:r w:rsidR="006E645D">
              <w:rPr>
                <w:rFonts w:eastAsia="Times New Roman"/>
              </w:rPr>
              <w:t>s</w:t>
            </w:r>
            <w:r w:rsidRPr="00991B97">
              <w:rPr>
                <w:rFonts w:eastAsia="Times New Roman"/>
              </w:rPr>
              <w:t xml:space="preserve"> circa £2000.   </w:t>
            </w:r>
          </w:p>
          <w:p w14:paraId="4796EF13" w14:textId="7ECEF9E3" w:rsidR="00465C5E" w:rsidRDefault="00465C5E" w:rsidP="005B1108">
            <w:pPr>
              <w:pStyle w:val="ListParagraph"/>
              <w:numPr>
                <w:ilvl w:val="0"/>
                <w:numId w:val="2"/>
              </w:numPr>
              <w:ind w:left="462" w:hanging="462"/>
              <w:rPr>
                <w:rFonts w:eastAsia="Times New Roman"/>
                <w:i/>
                <w:iCs/>
              </w:rPr>
            </w:pPr>
            <w:r w:rsidRPr="0039379B">
              <w:rPr>
                <w:rFonts w:eastAsia="Times New Roman"/>
                <w:i/>
                <w:iCs/>
              </w:rPr>
              <w:t>We believe that there should be a clear, simple and defined structure for licensing charges.</w:t>
            </w:r>
          </w:p>
          <w:p w14:paraId="191B5E76" w14:textId="05880D3D" w:rsidR="00465C5E" w:rsidRPr="00595DA0" w:rsidRDefault="00465C5E" w:rsidP="0039379B">
            <w:pPr>
              <w:pStyle w:val="ListParagraph"/>
              <w:numPr>
                <w:ilvl w:val="1"/>
                <w:numId w:val="2"/>
              </w:numPr>
              <w:ind w:left="1029" w:hanging="567"/>
              <w:rPr>
                <w:rFonts w:eastAsia="Times New Roman"/>
              </w:rPr>
            </w:pPr>
            <w:r>
              <w:rPr>
                <w:rFonts w:eastAsia="Times New Roman"/>
              </w:rPr>
              <w:t xml:space="preserve">As an example, </w:t>
            </w:r>
            <w:r w:rsidRPr="00595DA0">
              <w:rPr>
                <w:rFonts w:eastAsia="Times New Roman"/>
              </w:rPr>
              <w:t xml:space="preserve">Buckinghamshire </w:t>
            </w:r>
            <w:r>
              <w:rPr>
                <w:rFonts w:eastAsia="Times New Roman"/>
              </w:rPr>
              <w:t>make</w:t>
            </w:r>
            <w:r w:rsidRPr="00595DA0">
              <w:rPr>
                <w:rFonts w:eastAsia="Times New Roman"/>
              </w:rPr>
              <w:t xml:space="preserve"> a single charge that covers both</w:t>
            </w:r>
            <w:r>
              <w:rPr>
                <w:rFonts w:eastAsia="Times New Roman"/>
              </w:rPr>
              <w:t xml:space="preserve"> inspection and ongoing charges</w:t>
            </w:r>
            <w:r w:rsidRPr="00595DA0">
              <w:rPr>
                <w:rFonts w:eastAsia="Times New Roman"/>
              </w:rPr>
              <w:t xml:space="preserve"> (with elements that are refundable should a licence be refused).  They </w:t>
            </w:r>
            <w:r w:rsidRPr="00595DA0">
              <w:rPr>
                <w:rFonts w:eastAsia="Times New Roman"/>
              </w:rPr>
              <w:lastRenderedPageBreak/>
              <w:t xml:space="preserve">believe </w:t>
            </w:r>
            <w:r>
              <w:rPr>
                <w:rFonts w:eastAsia="Times New Roman"/>
              </w:rPr>
              <w:t>this</w:t>
            </w:r>
            <w:r w:rsidRPr="00595DA0">
              <w:rPr>
                <w:rFonts w:eastAsia="Times New Roman"/>
              </w:rPr>
              <w:t xml:space="preserve"> approach is the most straightforward and easiest</w:t>
            </w:r>
            <w:r w:rsidR="006E645D">
              <w:rPr>
                <w:rFonts w:eastAsia="Times New Roman"/>
              </w:rPr>
              <w:t xml:space="preserve"> (and least costly)</w:t>
            </w:r>
            <w:r w:rsidRPr="00595DA0">
              <w:rPr>
                <w:rFonts w:eastAsia="Times New Roman"/>
              </w:rPr>
              <w:t xml:space="preserve"> to administer.</w:t>
            </w:r>
          </w:p>
          <w:p w14:paraId="12CE4C11" w14:textId="4B416E31" w:rsidR="00465C5E" w:rsidRPr="007B1CB3" w:rsidRDefault="00465C5E" w:rsidP="007B1CB3">
            <w:pPr>
              <w:pStyle w:val="ListParagraph"/>
              <w:numPr>
                <w:ilvl w:val="0"/>
                <w:numId w:val="2"/>
              </w:numPr>
              <w:ind w:left="462" w:hanging="462"/>
              <w:rPr>
                <w:rFonts w:eastAsia="Times New Roman"/>
                <w:i/>
                <w:iCs/>
              </w:rPr>
            </w:pPr>
            <w:r w:rsidRPr="007B1CB3">
              <w:rPr>
                <w:rFonts w:eastAsia="Times New Roman"/>
                <w:i/>
                <w:iCs/>
              </w:rPr>
              <w:t xml:space="preserve">We recommend that the demarcation in roles between the Inspector and Listed Vet is better defined to ensure that there is no role-creep (and excess changing – primarily a Listed Vet issue). </w:t>
            </w:r>
          </w:p>
        </w:tc>
      </w:tr>
      <w:tr w:rsidR="00465C5E" w14:paraId="5CC72AD9" w14:textId="0F48ED0A" w:rsidTr="00465C5E">
        <w:tc>
          <w:tcPr>
            <w:tcW w:w="1517" w:type="dxa"/>
          </w:tcPr>
          <w:p w14:paraId="27A56F57" w14:textId="137269E7" w:rsidR="00465C5E" w:rsidRDefault="006465F6">
            <w:r>
              <w:lastRenderedPageBreak/>
              <w:t xml:space="preserve">Part </w:t>
            </w:r>
            <w:r w:rsidR="002A59F8">
              <w:t>4</w:t>
            </w:r>
          </w:p>
        </w:tc>
        <w:tc>
          <w:tcPr>
            <w:tcW w:w="3023" w:type="dxa"/>
          </w:tcPr>
          <w:p w14:paraId="10AD2092" w14:textId="4C9E5155" w:rsidR="00465C5E" w:rsidRDefault="006465F6">
            <w:r>
              <w:t>Appeals</w:t>
            </w:r>
          </w:p>
        </w:tc>
        <w:tc>
          <w:tcPr>
            <w:tcW w:w="9489" w:type="dxa"/>
          </w:tcPr>
          <w:p w14:paraId="09671937" w14:textId="6C0CA7BB" w:rsidR="00465C5E" w:rsidRDefault="00EE7DE1" w:rsidP="00706CE5">
            <w:pPr>
              <w:pStyle w:val="ListParagraph"/>
              <w:numPr>
                <w:ilvl w:val="0"/>
                <w:numId w:val="2"/>
              </w:numPr>
              <w:ind w:left="462" w:hanging="462"/>
            </w:pPr>
            <w:r>
              <w:t xml:space="preserve">The Legislation makes clear that there is a route of Appeal </w:t>
            </w:r>
            <w:r w:rsidR="00537C0E">
              <w:t xml:space="preserve">to the </w:t>
            </w:r>
            <w:r w:rsidR="00537C0E" w:rsidRPr="00537C0E">
              <w:t>First-tier Tribunal</w:t>
            </w:r>
            <w:r w:rsidR="00796109">
              <w:t xml:space="preserve"> but most LAs do not explain</w:t>
            </w:r>
            <w:r w:rsidR="009057F8">
              <w:t xml:space="preserve"> the process for Appealing licen</w:t>
            </w:r>
            <w:r w:rsidR="006E645D">
              <w:t>c</w:t>
            </w:r>
            <w:r w:rsidR="00514E6E">
              <w:t>ing decisions (both in-house and to the First Tier Tribunal</w:t>
            </w:r>
            <w:r w:rsidR="008E6566">
              <w:t>) on their websites</w:t>
            </w:r>
            <w:r w:rsidR="00514E6E">
              <w:t xml:space="preserve">.  </w:t>
            </w:r>
            <w:r w:rsidR="000F2734">
              <w:t>Many licensee</w:t>
            </w:r>
            <w:r w:rsidR="00383649">
              <w:t xml:space="preserve">s </w:t>
            </w:r>
            <w:r w:rsidR="006E645D">
              <w:t xml:space="preserve">are </w:t>
            </w:r>
            <w:r w:rsidR="000A043A">
              <w:t>un</w:t>
            </w:r>
            <w:r w:rsidR="00383649">
              <w:t>able</w:t>
            </w:r>
            <w:r w:rsidR="006E645D">
              <w:t>/unwilling</w:t>
            </w:r>
            <w:r w:rsidR="00383649">
              <w:t xml:space="preserve"> to challenge </w:t>
            </w:r>
            <w:r w:rsidR="0078743A">
              <w:t>inspectors for fear of upsetting them</w:t>
            </w:r>
            <w:r w:rsidR="006E645D">
              <w:t xml:space="preserve"> (with the perceived risk of</w:t>
            </w:r>
            <w:r w:rsidR="00B80589">
              <w:t xml:space="preserve"> unfavourable treatment at the </w:t>
            </w:r>
            <w:r w:rsidR="000A043A">
              <w:t xml:space="preserve">next inspection </w:t>
            </w:r>
            <w:r w:rsidR="00893D4D">
              <w:t>–</w:t>
            </w:r>
            <w:r w:rsidR="000A043A">
              <w:t xml:space="preserve"> </w:t>
            </w:r>
            <w:r w:rsidR="00893D4D">
              <w:t>failure at inspection can have a huge negative business impact</w:t>
            </w:r>
            <w:r w:rsidR="006E645D">
              <w:t>)</w:t>
            </w:r>
            <w:r w:rsidR="00893D4D">
              <w:t>.  Nonetheless</w:t>
            </w:r>
            <w:r w:rsidR="006A7C77">
              <w:t xml:space="preserve">, evidence suggests that the lack of </w:t>
            </w:r>
            <w:r w:rsidR="00965DA0">
              <w:t xml:space="preserve">knowledge and experience of many LA inspectors </w:t>
            </w:r>
            <w:r w:rsidR="00D63A5A">
              <w:t>can</w:t>
            </w:r>
            <w:r w:rsidR="00965DA0">
              <w:t xml:space="preserve"> result in poor decisions</w:t>
            </w:r>
            <w:r w:rsidR="00D63A5A">
              <w:t>.</w:t>
            </w:r>
          </w:p>
          <w:p w14:paraId="7BBA4955" w14:textId="53CA180C" w:rsidR="001454C1" w:rsidRDefault="001454C1" w:rsidP="00706CE5">
            <w:pPr>
              <w:pStyle w:val="ListParagraph"/>
              <w:numPr>
                <w:ilvl w:val="0"/>
                <w:numId w:val="2"/>
              </w:numPr>
              <w:ind w:left="462" w:hanging="462"/>
            </w:pPr>
            <w:r>
              <w:rPr>
                <w:i/>
                <w:iCs/>
              </w:rPr>
              <w:t xml:space="preserve">We believe that LAs should be required – in the same area that defines the </w:t>
            </w:r>
            <w:r w:rsidR="00893D4D">
              <w:rPr>
                <w:i/>
                <w:iCs/>
              </w:rPr>
              <w:t>p</w:t>
            </w:r>
            <w:r>
              <w:rPr>
                <w:i/>
                <w:iCs/>
              </w:rPr>
              <w:t>rocess for licen</w:t>
            </w:r>
            <w:r w:rsidR="006E645D">
              <w:rPr>
                <w:i/>
                <w:iCs/>
              </w:rPr>
              <w:t>c</w:t>
            </w:r>
            <w:r>
              <w:rPr>
                <w:i/>
                <w:iCs/>
              </w:rPr>
              <w:t xml:space="preserve">ing – </w:t>
            </w:r>
            <w:r w:rsidR="00D63A5A">
              <w:rPr>
                <w:i/>
                <w:iCs/>
              </w:rPr>
              <w:t xml:space="preserve">to </w:t>
            </w:r>
            <w:r>
              <w:rPr>
                <w:i/>
                <w:iCs/>
              </w:rPr>
              <w:t>define also the process for appealing decision</w:t>
            </w:r>
            <w:r w:rsidR="00204684">
              <w:rPr>
                <w:i/>
                <w:iCs/>
              </w:rPr>
              <w:t>s (in-house and to the First-Tier Tribunal)</w:t>
            </w:r>
            <w:r w:rsidR="00D63A5A">
              <w:rPr>
                <w:i/>
                <w:iCs/>
              </w:rPr>
              <w:t xml:space="preserve"> </w:t>
            </w:r>
            <w:r w:rsidR="00871574">
              <w:rPr>
                <w:i/>
                <w:iCs/>
              </w:rPr>
              <w:t>– both licensees and inspectors must know that they can be held to account.</w:t>
            </w:r>
          </w:p>
        </w:tc>
      </w:tr>
      <w:tr w:rsidR="00906391" w14:paraId="747B9334" w14:textId="349C44A1" w:rsidTr="00465C5E">
        <w:tc>
          <w:tcPr>
            <w:tcW w:w="1517" w:type="dxa"/>
            <w:vMerge w:val="restart"/>
          </w:tcPr>
          <w:p w14:paraId="3014652B" w14:textId="7BFBD989" w:rsidR="00906391" w:rsidRDefault="00906391">
            <w:r>
              <w:t xml:space="preserve">Schedule 1 </w:t>
            </w:r>
          </w:p>
        </w:tc>
        <w:tc>
          <w:tcPr>
            <w:tcW w:w="3023" w:type="dxa"/>
          </w:tcPr>
          <w:p w14:paraId="1979E60F" w14:textId="58145E9D" w:rsidR="00906391" w:rsidRDefault="00906391">
            <w:r>
              <w:t>Business Test</w:t>
            </w:r>
          </w:p>
        </w:tc>
        <w:tc>
          <w:tcPr>
            <w:tcW w:w="9489" w:type="dxa"/>
          </w:tcPr>
          <w:p w14:paraId="0AE06EAE" w14:textId="76E569DE" w:rsidR="00906391" w:rsidRDefault="00906391" w:rsidP="008C6D41">
            <w:pPr>
              <w:pStyle w:val="ListParagraph"/>
              <w:numPr>
                <w:ilvl w:val="0"/>
                <w:numId w:val="2"/>
              </w:numPr>
              <w:ind w:left="462" w:hanging="462"/>
            </w:pPr>
            <w:r w:rsidRPr="003F3B5D">
              <w:t>It is unclear whether Riding Establishment run as a Charity should be licen</w:t>
            </w:r>
            <w:r w:rsidR="006E645D">
              <w:t>c</w:t>
            </w:r>
            <w:r w:rsidRPr="003F3B5D">
              <w:t>ed.  There most obvious example are</w:t>
            </w:r>
            <w:r>
              <w:t xml:space="preserve"> the</w:t>
            </w:r>
            <w:r w:rsidRPr="003F3B5D">
              <w:t xml:space="preserve"> </w:t>
            </w:r>
            <w:r>
              <w:t>‘</w:t>
            </w:r>
            <w:r w:rsidRPr="003F3B5D">
              <w:t>Riding for the Disable</w:t>
            </w:r>
            <w:r>
              <w:t>’</w:t>
            </w:r>
            <w:r w:rsidRPr="003F3B5D">
              <w:t xml:space="preserve"> stables</w:t>
            </w:r>
            <w:r w:rsidR="006E645D">
              <w:t>, e</w:t>
            </w:r>
            <w:r w:rsidR="00CD339A">
              <w:t>ach</w:t>
            </w:r>
            <w:r>
              <w:t xml:space="preserve"> of which</w:t>
            </w:r>
            <w:r w:rsidRPr="003F3B5D">
              <w:t xml:space="preserve"> </w:t>
            </w:r>
            <w:r>
              <w:t>is an</w:t>
            </w:r>
            <w:r w:rsidRPr="003F3B5D">
              <w:t xml:space="preserve"> independent charit</w:t>
            </w:r>
            <w:r>
              <w:t>y</w:t>
            </w:r>
            <w:r w:rsidRPr="003F3B5D">
              <w:t>, owning horses</w:t>
            </w:r>
            <w:r>
              <w:t xml:space="preserve"> and </w:t>
            </w:r>
            <w:r w:rsidRPr="003F3B5D">
              <w:t>offering riding experience to disable riders.  Some Councils require a Council Licen</w:t>
            </w:r>
            <w:r w:rsidR="006E645D">
              <w:t>c</w:t>
            </w:r>
            <w:r w:rsidRPr="003F3B5D">
              <w:t>e other do not.  However, there are others that have established as a CIC or a Charity that fall into a ‘grey’ licensing area</w:t>
            </w:r>
            <w:r>
              <w:t>.</w:t>
            </w:r>
          </w:p>
          <w:p w14:paraId="6A01ACFA" w14:textId="2FF9AF56" w:rsidR="00906391" w:rsidRPr="00082FB0" w:rsidRDefault="00906391" w:rsidP="00082FB0">
            <w:pPr>
              <w:pStyle w:val="ListParagraph"/>
              <w:numPr>
                <w:ilvl w:val="0"/>
                <w:numId w:val="2"/>
              </w:numPr>
              <w:ind w:left="462" w:hanging="462"/>
            </w:pPr>
            <w:r>
              <w:rPr>
                <w:i/>
                <w:iCs/>
              </w:rPr>
              <w:t>If the purpose of the legislation is to secure the welfare of the horse, then this type of charitable establishment should be licenced.  However, it should be acknowledged that the cost of licen</w:t>
            </w:r>
            <w:r w:rsidR="006E645D">
              <w:rPr>
                <w:i/>
                <w:iCs/>
              </w:rPr>
              <w:t>c</w:t>
            </w:r>
            <w:r>
              <w:rPr>
                <w:i/>
                <w:iCs/>
              </w:rPr>
              <w:t>ing is likely to be a significant burden</w:t>
            </w:r>
            <w:r w:rsidR="006E645D">
              <w:rPr>
                <w:i/>
                <w:iCs/>
              </w:rPr>
              <w:t xml:space="preserve"> and may impede the delivery of charitable activities</w:t>
            </w:r>
            <w:r>
              <w:rPr>
                <w:i/>
                <w:iCs/>
              </w:rPr>
              <w:t>. A clear statement either way should be included in the Business Test.</w:t>
            </w:r>
          </w:p>
        </w:tc>
      </w:tr>
      <w:tr w:rsidR="00906391" w14:paraId="64020500" w14:textId="5D55E084" w:rsidTr="00465C5E">
        <w:tc>
          <w:tcPr>
            <w:tcW w:w="1517" w:type="dxa"/>
            <w:vMerge/>
          </w:tcPr>
          <w:p w14:paraId="65EBAD6D" w14:textId="7FF3BA00" w:rsidR="00906391" w:rsidRDefault="00906391" w:rsidP="00906391"/>
        </w:tc>
        <w:tc>
          <w:tcPr>
            <w:tcW w:w="3023" w:type="dxa"/>
          </w:tcPr>
          <w:p w14:paraId="1D691973" w14:textId="48084D26" w:rsidR="00906391" w:rsidRDefault="00906391">
            <w:r>
              <w:t>Scope of the Regulations as they relate to horses</w:t>
            </w:r>
          </w:p>
        </w:tc>
        <w:tc>
          <w:tcPr>
            <w:tcW w:w="9489" w:type="dxa"/>
          </w:tcPr>
          <w:p w14:paraId="45704BFF" w14:textId="46E9737E" w:rsidR="00906391" w:rsidRDefault="00906391" w:rsidP="00F6647B">
            <w:pPr>
              <w:pStyle w:val="ListParagraph"/>
              <w:numPr>
                <w:ilvl w:val="0"/>
                <w:numId w:val="2"/>
              </w:numPr>
              <w:ind w:left="462" w:hanging="462"/>
            </w:pPr>
            <w:r>
              <w:t xml:space="preserve">The scope of the regulations covers only the Hire of Horses in Riding Schools that </w:t>
            </w:r>
            <w:r w:rsidR="006E645D">
              <w:t xml:space="preserve">have a level of profit that meets </w:t>
            </w:r>
            <w:r>
              <w:t xml:space="preserve">the Business Test.  However, there are a wide range of other </w:t>
            </w:r>
            <w:r w:rsidR="006E645D">
              <w:t>businesses</w:t>
            </w:r>
            <w:r>
              <w:t xml:space="preserve"> that have </w:t>
            </w:r>
            <w:r w:rsidR="006E645D">
              <w:t>‘</w:t>
            </w:r>
            <w:r w:rsidRPr="006E645D">
              <w:rPr>
                <w:b/>
                <w:bCs/>
              </w:rPr>
              <w:t>Care, Custody and Control</w:t>
            </w:r>
            <w:r w:rsidR="006E645D" w:rsidRPr="006E645D">
              <w:t>’</w:t>
            </w:r>
            <w:r>
              <w:t xml:space="preserve"> of horses</w:t>
            </w:r>
            <w:r w:rsidR="006E645D">
              <w:t xml:space="preserve"> on a commercial basis that generates a</w:t>
            </w:r>
            <w:r>
              <w:t xml:space="preserve"> profit.  These include Livery Yards that offer full or part livery, competition yards, studs and racing stables.  These establishment</w:t>
            </w:r>
            <w:r w:rsidRPr="00C2413C">
              <w:t xml:space="preserve"> assume de facto welfare responsibilities</w:t>
            </w:r>
            <w:r>
              <w:t xml:space="preserve"> for horses in their care and control, </w:t>
            </w:r>
            <w:r w:rsidRPr="00C2413C">
              <w:t>provid</w:t>
            </w:r>
            <w:r>
              <w:t>ing</w:t>
            </w:r>
            <w:r w:rsidRPr="00C2413C">
              <w:t xml:space="preserve"> facilities</w:t>
            </w:r>
            <w:r>
              <w:t xml:space="preserve"> and services</w:t>
            </w:r>
            <w:r w:rsidRPr="00C2413C">
              <w:t xml:space="preserve"> that impact </w:t>
            </w:r>
            <w:r>
              <w:t xml:space="preserve">on </w:t>
            </w:r>
            <w:r w:rsidRPr="00C2413C">
              <w:t>horse welfare</w:t>
            </w:r>
            <w:r>
              <w:t>.</w:t>
            </w:r>
          </w:p>
          <w:p w14:paraId="789ED651" w14:textId="163202E5" w:rsidR="005C426A" w:rsidRDefault="005C426A" w:rsidP="00F6647B">
            <w:pPr>
              <w:pStyle w:val="ListParagraph"/>
              <w:numPr>
                <w:ilvl w:val="0"/>
                <w:numId w:val="2"/>
              </w:numPr>
              <w:ind w:left="462" w:hanging="462"/>
            </w:pPr>
            <w:r>
              <w:t>There are organisations that are providing Horse Therapy to support mental welfare.  We support this and have one mem</w:t>
            </w:r>
            <w:r w:rsidR="006434A3">
              <w:t>ber who provides this service and has chosen to be Council Licenced.</w:t>
            </w:r>
          </w:p>
          <w:p w14:paraId="3CCD6935" w14:textId="71E17A73" w:rsidR="00906391" w:rsidRDefault="00906391" w:rsidP="00F6647B">
            <w:pPr>
              <w:pStyle w:val="ListParagraph"/>
              <w:numPr>
                <w:ilvl w:val="0"/>
                <w:numId w:val="2"/>
              </w:numPr>
              <w:ind w:left="462" w:hanging="462"/>
            </w:pPr>
            <w:r>
              <w:t xml:space="preserve">Our experience is that horse owners seeking livery often migrate to the lowest cost provider.  These yards </w:t>
            </w:r>
            <w:r w:rsidR="006E645D">
              <w:t xml:space="preserve">may </w:t>
            </w:r>
            <w:r>
              <w:t>have non</w:t>
            </w:r>
            <w:r w:rsidR="006E645D">
              <w:t>-</w:t>
            </w:r>
            <w:r>
              <w:t xml:space="preserve"> or underqualified staff, provide facilities that </w:t>
            </w:r>
            <w:r w:rsidR="00032BDD">
              <w:t xml:space="preserve">may be </w:t>
            </w:r>
            <w:r>
              <w:t xml:space="preserve">less than </w:t>
            </w:r>
            <w:r>
              <w:lastRenderedPageBreak/>
              <w:t>adequate and</w:t>
            </w:r>
            <w:r w:rsidR="00032BDD">
              <w:t>/or</w:t>
            </w:r>
            <w:r>
              <w:t xml:space="preserve"> may not address health, safety and welfare of clients rigorously.  This migration is often at the expense of well-run yards (including Council Licenced yards who </w:t>
            </w:r>
            <w:r w:rsidR="00032BDD">
              <w:t>also take</w:t>
            </w:r>
            <w:r>
              <w:t xml:space="preserve"> liveries in addition to offering horses for hire).</w:t>
            </w:r>
          </w:p>
          <w:p w14:paraId="048F43C0" w14:textId="75B1A93F" w:rsidR="00906391" w:rsidRDefault="00906391" w:rsidP="00F6647B">
            <w:pPr>
              <w:pStyle w:val="ListParagraph"/>
              <w:numPr>
                <w:ilvl w:val="0"/>
                <w:numId w:val="2"/>
              </w:numPr>
              <w:ind w:left="462" w:hanging="462"/>
            </w:pPr>
            <w:r>
              <w:t xml:space="preserve">Our experience is that there is a wide range of venues providing </w:t>
            </w:r>
            <w:r w:rsidR="00032BDD">
              <w:t>C</w:t>
            </w:r>
            <w:r>
              <w:t>are,</w:t>
            </w:r>
            <w:r w:rsidR="00032BDD">
              <w:t xml:space="preserve"> C</w:t>
            </w:r>
            <w:r>
              <w:t xml:space="preserve">ustody and </w:t>
            </w:r>
            <w:r w:rsidR="00032BDD">
              <w:t>C</w:t>
            </w:r>
            <w:r>
              <w:t>ontrol.  Some have stables and turnout, others only grass.  Some cater for small numbers of horses (sometimes using spare on-site stables) other look after tens of horses – there is no one definitive model.</w:t>
            </w:r>
          </w:p>
          <w:p w14:paraId="487AE7EB" w14:textId="37460B7D" w:rsidR="00906391" w:rsidRPr="00E04286" w:rsidRDefault="00906391" w:rsidP="00F6647B">
            <w:pPr>
              <w:pStyle w:val="ListParagraph"/>
              <w:numPr>
                <w:ilvl w:val="0"/>
                <w:numId w:val="2"/>
              </w:numPr>
              <w:ind w:left="462" w:hanging="462"/>
            </w:pPr>
            <w:r>
              <w:rPr>
                <w:i/>
                <w:iCs/>
              </w:rPr>
              <w:t>We believe that where the proprietor of a yard has Care, Custody and Control of horses on a commercial basis, consideration should be given to regulating the activity.  This would predominantly impact yards that offer full or part livery (boarding) potentially in conjunction with other horse training services.</w:t>
            </w:r>
          </w:p>
          <w:p w14:paraId="38BA23FF" w14:textId="77777777" w:rsidR="00906391" w:rsidRPr="00AA636C" w:rsidRDefault="00906391" w:rsidP="00E04286">
            <w:pPr>
              <w:pStyle w:val="ListParagraph"/>
              <w:numPr>
                <w:ilvl w:val="1"/>
                <w:numId w:val="2"/>
              </w:numPr>
              <w:ind w:left="1029" w:hanging="567"/>
            </w:pPr>
            <w:r w:rsidRPr="00E04286">
              <w:rPr>
                <w:rFonts w:eastAsia="Times New Roman"/>
              </w:rPr>
              <w:t>Where</w:t>
            </w:r>
            <w:r>
              <w:rPr>
                <w:i/>
                <w:iCs/>
              </w:rPr>
              <w:t xml:space="preserve"> livery services are not being provided (in effect, the proprietor is just providing facilities) and the Care, Custody and Control remains with the horse owner, we believe licencing would not be appropriate.  </w:t>
            </w:r>
          </w:p>
          <w:p w14:paraId="5E1BD257" w14:textId="4DAE8922" w:rsidR="00906391" w:rsidRPr="00AA636C" w:rsidRDefault="00906391" w:rsidP="00E04286">
            <w:pPr>
              <w:pStyle w:val="ListParagraph"/>
              <w:numPr>
                <w:ilvl w:val="1"/>
                <w:numId w:val="2"/>
              </w:numPr>
              <w:ind w:left="1029" w:hanging="567"/>
            </w:pPr>
            <w:r>
              <w:rPr>
                <w:i/>
                <w:iCs/>
              </w:rPr>
              <w:t xml:space="preserve">There may be a case to differentiate between </w:t>
            </w:r>
            <w:r w:rsidRPr="00032BDD">
              <w:rPr>
                <w:b/>
                <w:bCs/>
                <w:i/>
                <w:iCs/>
              </w:rPr>
              <w:t>registration</w:t>
            </w:r>
            <w:r>
              <w:rPr>
                <w:i/>
                <w:iCs/>
              </w:rPr>
              <w:t xml:space="preserve"> for yards that have few animals</w:t>
            </w:r>
            <w:r w:rsidR="00032BDD">
              <w:rPr>
                <w:i/>
                <w:iCs/>
              </w:rPr>
              <w:t xml:space="preserve"> (say &lt;=6)</w:t>
            </w:r>
            <w:r>
              <w:rPr>
                <w:i/>
                <w:iCs/>
              </w:rPr>
              <w:t xml:space="preserve"> and </w:t>
            </w:r>
            <w:r w:rsidRPr="00032BDD">
              <w:rPr>
                <w:b/>
                <w:bCs/>
                <w:i/>
                <w:iCs/>
              </w:rPr>
              <w:t>licencing</w:t>
            </w:r>
            <w:r>
              <w:rPr>
                <w:i/>
                <w:iCs/>
              </w:rPr>
              <w:t xml:space="preserve"> where the number of horses is larger</w:t>
            </w:r>
            <w:r w:rsidR="00032BDD">
              <w:rPr>
                <w:i/>
                <w:iCs/>
              </w:rPr>
              <w:t xml:space="preserve"> (say &gt;6)</w:t>
            </w:r>
            <w:r>
              <w:rPr>
                <w:i/>
                <w:iCs/>
              </w:rPr>
              <w:t>.  The boundaries of such regulation would need to be carefully considered – for example</w:t>
            </w:r>
            <w:r w:rsidR="00D460A3">
              <w:rPr>
                <w:i/>
                <w:iCs/>
              </w:rPr>
              <w:t>, should</w:t>
            </w:r>
            <w:r>
              <w:rPr>
                <w:i/>
                <w:iCs/>
              </w:rPr>
              <w:t xml:space="preserve"> racing yards registered with the British Racing Authority be exemp</w:t>
            </w:r>
            <w:r w:rsidR="00D460A3">
              <w:rPr>
                <w:i/>
                <w:iCs/>
              </w:rPr>
              <w:t>t?</w:t>
            </w:r>
            <w:r>
              <w:rPr>
                <w:i/>
                <w:iCs/>
              </w:rPr>
              <w:t xml:space="preserve">  </w:t>
            </w:r>
          </w:p>
          <w:p w14:paraId="5A3446B6" w14:textId="1375B16E" w:rsidR="00906391" w:rsidRPr="006434A3" w:rsidRDefault="00906391" w:rsidP="00E04286">
            <w:pPr>
              <w:pStyle w:val="ListParagraph"/>
              <w:numPr>
                <w:ilvl w:val="1"/>
                <w:numId w:val="2"/>
              </w:numPr>
              <w:ind w:left="1029" w:hanging="567"/>
            </w:pPr>
            <w:r>
              <w:rPr>
                <w:i/>
                <w:iCs/>
              </w:rPr>
              <w:t xml:space="preserve">Given that the horses are not being hired (they are for use by the owner), an inspection by a </w:t>
            </w:r>
            <w:r w:rsidR="00D460A3">
              <w:rPr>
                <w:i/>
                <w:iCs/>
              </w:rPr>
              <w:t>Listed Vet</w:t>
            </w:r>
            <w:r>
              <w:rPr>
                <w:i/>
                <w:iCs/>
              </w:rPr>
              <w:t xml:space="preserve"> would not be appropriate.  </w:t>
            </w:r>
          </w:p>
          <w:p w14:paraId="4C2BDC52" w14:textId="791E54D3" w:rsidR="006434A3" w:rsidRPr="00DD30C1" w:rsidRDefault="0049256C" w:rsidP="00E04286">
            <w:pPr>
              <w:pStyle w:val="ListParagraph"/>
              <w:numPr>
                <w:ilvl w:val="1"/>
                <w:numId w:val="2"/>
              </w:numPr>
              <w:ind w:left="1029" w:hanging="567"/>
            </w:pPr>
            <w:r>
              <w:rPr>
                <w:i/>
                <w:iCs/>
              </w:rPr>
              <w:t>Organisations providing Horse Therapies should be licenced either under Schedule 5 (if the horses are ridden) or Schedule 7 (if the horses are not ridden).</w:t>
            </w:r>
          </w:p>
          <w:p w14:paraId="4292FECC" w14:textId="67DDC859" w:rsidR="00906391" w:rsidRDefault="00906391" w:rsidP="0040162E">
            <w:pPr>
              <w:pStyle w:val="ListParagraph"/>
              <w:numPr>
                <w:ilvl w:val="0"/>
                <w:numId w:val="2"/>
              </w:numPr>
              <w:ind w:left="462" w:hanging="462"/>
            </w:pPr>
            <w:r>
              <w:rPr>
                <w:i/>
                <w:iCs/>
              </w:rPr>
              <w:t xml:space="preserve">We believe that a new Schedule would be needed - ‘ </w:t>
            </w:r>
            <w:r w:rsidRPr="00B81858">
              <w:rPr>
                <w:i/>
                <w:iCs/>
              </w:rPr>
              <w:t xml:space="preserve">Providing or arranging for the provision of boarding for </w:t>
            </w:r>
            <w:r>
              <w:rPr>
                <w:i/>
                <w:iCs/>
              </w:rPr>
              <w:t>horses’.</w:t>
            </w:r>
          </w:p>
        </w:tc>
      </w:tr>
      <w:bookmarkEnd w:id="0"/>
    </w:tbl>
    <w:p w14:paraId="4088E7BD" w14:textId="77777777" w:rsidR="009B5656" w:rsidRDefault="009B5656"/>
    <w:p w14:paraId="00794AB5" w14:textId="0F10B46F" w:rsidR="0020073C" w:rsidRPr="0020073C" w:rsidRDefault="0020073C" w:rsidP="0020073C">
      <w:pPr>
        <w:pStyle w:val="ListParagraph"/>
        <w:numPr>
          <w:ilvl w:val="0"/>
          <w:numId w:val="4"/>
        </w:numPr>
        <w:rPr>
          <w:b/>
          <w:bCs/>
        </w:rPr>
      </w:pPr>
      <w:r w:rsidRPr="0020073C">
        <w:rPr>
          <w:b/>
          <w:bCs/>
        </w:rPr>
        <w:t>Schedule 5</w:t>
      </w:r>
      <w:r>
        <w:rPr>
          <w:b/>
          <w:bCs/>
        </w:rPr>
        <w:t xml:space="preserve"> and the Guidance Material</w:t>
      </w:r>
    </w:p>
    <w:tbl>
      <w:tblPr>
        <w:tblStyle w:val="TableGrid"/>
        <w:tblW w:w="14029" w:type="dxa"/>
        <w:tblLook w:val="04A0" w:firstRow="1" w:lastRow="0" w:firstColumn="1" w:lastColumn="0" w:noHBand="0" w:noVBand="1"/>
      </w:tblPr>
      <w:tblGrid>
        <w:gridCol w:w="1517"/>
        <w:gridCol w:w="3023"/>
        <w:gridCol w:w="9489"/>
      </w:tblGrid>
      <w:tr w:rsidR="0020073C" w14:paraId="6143D5F3" w14:textId="77777777" w:rsidTr="009206EA">
        <w:trPr>
          <w:tblHeader/>
        </w:trPr>
        <w:tc>
          <w:tcPr>
            <w:tcW w:w="1517" w:type="dxa"/>
            <w:shd w:val="clear" w:color="auto" w:fill="808080" w:themeFill="background1" w:themeFillShade="80"/>
          </w:tcPr>
          <w:p w14:paraId="5AA840B2" w14:textId="77777777" w:rsidR="0020073C" w:rsidRPr="00AD30DE" w:rsidRDefault="0020073C" w:rsidP="009206EA">
            <w:pPr>
              <w:rPr>
                <w:b/>
                <w:bCs/>
                <w:color w:val="FFFFFF" w:themeColor="background1"/>
              </w:rPr>
            </w:pPr>
            <w:r w:rsidRPr="00AD30DE">
              <w:rPr>
                <w:b/>
                <w:bCs/>
                <w:color w:val="FFFFFF" w:themeColor="background1"/>
              </w:rPr>
              <w:t>Part/Schedule</w:t>
            </w:r>
          </w:p>
        </w:tc>
        <w:tc>
          <w:tcPr>
            <w:tcW w:w="3023" w:type="dxa"/>
            <w:shd w:val="clear" w:color="auto" w:fill="808080" w:themeFill="background1" w:themeFillShade="80"/>
          </w:tcPr>
          <w:p w14:paraId="03C6DEA2" w14:textId="77777777" w:rsidR="0020073C" w:rsidRPr="00AD30DE" w:rsidRDefault="0020073C" w:rsidP="009206EA">
            <w:pPr>
              <w:rPr>
                <w:b/>
                <w:bCs/>
                <w:color w:val="FFFFFF" w:themeColor="background1"/>
              </w:rPr>
            </w:pPr>
            <w:r w:rsidRPr="00AD30DE">
              <w:rPr>
                <w:b/>
                <w:bCs/>
                <w:color w:val="FFFFFF" w:themeColor="background1"/>
              </w:rPr>
              <w:t>Topic</w:t>
            </w:r>
          </w:p>
        </w:tc>
        <w:tc>
          <w:tcPr>
            <w:tcW w:w="9489" w:type="dxa"/>
            <w:shd w:val="clear" w:color="auto" w:fill="808080" w:themeFill="background1" w:themeFillShade="80"/>
          </w:tcPr>
          <w:p w14:paraId="7F57AAE3" w14:textId="77777777" w:rsidR="0020073C" w:rsidRPr="00AD30DE" w:rsidRDefault="0020073C" w:rsidP="009206EA">
            <w:pPr>
              <w:rPr>
                <w:b/>
                <w:bCs/>
                <w:color w:val="FFFFFF" w:themeColor="background1"/>
              </w:rPr>
            </w:pPr>
            <w:r w:rsidRPr="00AD30DE">
              <w:rPr>
                <w:b/>
                <w:bCs/>
                <w:color w:val="FFFFFF" w:themeColor="background1"/>
              </w:rPr>
              <w:t>ABRS Comment</w:t>
            </w:r>
          </w:p>
        </w:tc>
      </w:tr>
      <w:tr w:rsidR="00127C7E" w:rsidRPr="0033323E" w14:paraId="37507EC1" w14:textId="77777777" w:rsidTr="00127C7E">
        <w:tc>
          <w:tcPr>
            <w:tcW w:w="1517" w:type="dxa"/>
            <w:vMerge w:val="restart"/>
            <w:shd w:val="clear" w:color="auto" w:fill="auto"/>
          </w:tcPr>
          <w:p w14:paraId="152993C3" w14:textId="36BEE354" w:rsidR="00127C7E" w:rsidRPr="0033323E" w:rsidRDefault="00127C7E" w:rsidP="009206EA">
            <w:pPr>
              <w:rPr>
                <w:color w:val="000000" w:themeColor="text1"/>
              </w:rPr>
            </w:pPr>
            <w:r w:rsidRPr="0033323E">
              <w:rPr>
                <w:color w:val="000000" w:themeColor="text1"/>
              </w:rPr>
              <w:t>Introduction</w:t>
            </w:r>
          </w:p>
        </w:tc>
        <w:tc>
          <w:tcPr>
            <w:tcW w:w="3023" w:type="dxa"/>
            <w:shd w:val="clear" w:color="auto" w:fill="auto"/>
          </w:tcPr>
          <w:p w14:paraId="7716624C" w14:textId="44582EF4" w:rsidR="00127C7E" w:rsidRPr="0033323E" w:rsidRDefault="00127C7E" w:rsidP="009206EA">
            <w:pPr>
              <w:rPr>
                <w:color w:val="000000" w:themeColor="text1"/>
              </w:rPr>
            </w:pPr>
            <w:r>
              <w:rPr>
                <w:color w:val="000000" w:themeColor="text1"/>
              </w:rPr>
              <w:t>S</w:t>
            </w:r>
            <w:r w:rsidRPr="00FB219E">
              <w:rPr>
                <w:color w:val="000000" w:themeColor="text1"/>
              </w:rPr>
              <w:t>cope</w:t>
            </w:r>
            <w:r>
              <w:rPr>
                <w:color w:val="000000" w:themeColor="text1"/>
              </w:rPr>
              <w:t xml:space="preserve"> of</w:t>
            </w:r>
            <w:r w:rsidRPr="00FB219E">
              <w:rPr>
                <w:color w:val="000000" w:themeColor="text1"/>
              </w:rPr>
              <w:t xml:space="preserve"> hire out horses for riding, or instruction in riding</w:t>
            </w:r>
          </w:p>
        </w:tc>
        <w:tc>
          <w:tcPr>
            <w:tcW w:w="9489" w:type="dxa"/>
            <w:shd w:val="clear" w:color="auto" w:fill="auto"/>
          </w:tcPr>
          <w:p w14:paraId="30C6023C" w14:textId="0EC9CC84" w:rsidR="00127C7E" w:rsidRPr="0033323E" w:rsidRDefault="00127C7E" w:rsidP="00823465">
            <w:pPr>
              <w:pStyle w:val="ListParagraph"/>
              <w:numPr>
                <w:ilvl w:val="0"/>
                <w:numId w:val="2"/>
              </w:numPr>
              <w:ind w:left="462" w:hanging="462"/>
              <w:rPr>
                <w:color w:val="000000" w:themeColor="text1"/>
              </w:rPr>
            </w:pPr>
            <w:r w:rsidRPr="00823465">
              <w:rPr>
                <w:color w:val="000000" w:themeColor="text1"/>
              </w:rPr>
              <w:t xml:space="preserve">There is </w:t>
            </w:r>
            <w:r w:rsidRPr="00823465">
              <w:t>some</w:t>
            </w:r>
            <w:r w:rsidRPr="00823465">
              <w:rPr>
                <w:color w:val="000000" w:themeColor="text1"/>
              </w:rPr>
              <w:t xml:space="preserve"> evidence that some operators try to evade licen</w:t>
            </w:r>
            <w:r w:rsidR="00D460A3">
              <w:rPr>
                <w:color w:val="000000" w:themeColor="text1"/>
              </w:rPr>
              <w:t>c</w:t>
            </w:r>
            <w:r w:rsidRPr="00823465">
              <w:rPr>
                <w:color w:val="000000" w:themeColor="text1"/>
              </w:rPr>
              <w:t>ing through the use of horse loan arrangements; this is hugely unfair on those riding establishments that follow the licen</w:t>
            </w:r>
            <w:r w:rsidR="00D460A3">
              <w:rPr>
                <w:color w:val="000000" w:themeColor="text1"/>
              </w:rPr>
              <w:t>c</w:t>
            </w:r>
            <w:r w:rsidRPr="00823465">
              <w:rPr>
                <w:color w:val="000000" w:themeColor="text1"/>
              </w:rPr>
              <w:t>ing regulations, allowing unregulated operators to undercut Licen</w:t>
            </w:r>
            <w:r w:rsidR="00D460A3">
              <w:rPr>
                <w:color w:val="000000" w:themeColor="text1"/>
              </w:rPr>
              <w:t>c</w:t>
            </w:r>
            <w:r w:rsidRPr="00823465">
              <w:rPr>
                <w:color w:val="000000" w:themeColor="text1"/>
              </w:rPr>
              <w:t>ed Riding Establishments through lower overheads.</w:t>
            </w:r>
          </w:p>
        </w:tc>
      </w:tr>
      <w:tr w:rsidR="00127C7E" w:rsidRPr="0033323E" w14:paraId="075C4A95" w14:textId="77777777" w:rsidTr="00127C7E">
        <w:tc>
          <w:tcPr>
            <w:tcW w:w="1517" w:type="dxa"/>
            <w:vMerge/>
            <w:shd w:val="clear" w:color="auto" w:fill="auto"/>
          </w:tcPr>
          <w:p w14:paraId="0D8E8715" w14:textId="77777777" w:rsidR="00127C7E" w:rsidRPr="0033323E" w:rsidRDefault="00127C7E" w:rsidP="009206EA">
            <w:pPr>
              <w:rPr>
                <w:color w:val="000000" w:themeColor="text1"/>
              </w:rPr>
            </w:pPr>
          </w:p>
        </w:tc>
        <w:tc>
          <w:tcPr>
            <w:tcW w:w="3023" w:type="dxa"/>
            <w:shd w:val="clear" w:color="auto" w:fill="auto"/>
          </w:tcPr>
          <w:p w14:paraId="2FE0EB4D" w14:textId="0EA749EC" w:rsidR="00127C7E" w:rsidRDefault="00127C7E" w:rsidP="009206EA">
            <w:pPr>
              <w:rPr>
                <w:color w:val="000000" w:themeColor="text1"/>
              </w:rPr>
            </w:pPr>
            <w:r>
              <w:rPr>
                <w:color w:val="000000" w:themeColor="text1"/>
              </w:rPr>
              <w:t>Listed Vet</w:t>
            </w:r>
          </w:p>
        </w:tc>
        <w:tc>
          <w:tcPr>
            <w:tcW w:w="9489" w:type="dxa"/>
            <w:shd w:val="clear" w:color="auto" w:fill="auto"/>
          </w:tcPr>
          <w:p w14:paraId="62AFA510" w14:textId="4A52312C" w:rsidR="00127C7E" w:rsidRPr="00823465" w:rsidRDefault="00127C7E" w:rsidP="00823465">
            <w:pPr>
              <w:pStyle w:val="ListParagraph"/>
              <w:numPr>
                <w:ilvl w:val="0"/>
                <w:numId w:val="2"/>
              </w:numPr>
              <w:ind w:left="462" w:hanging="462"/>
              <w:rPr>
                <w:color w:val="000000" w:themeColor="text1"/>
              </w:rPr>
            </w:pPr>
            <w:r>
              <w:rPr>
                <w:color w:val="000000" w:themeColor="text1"/>
              </w:rPr>
              <w:t>While most listed Vets are professional and competent, there are a small number that end up in conflict with the Licensee during the licencing process.  The Licensee should be able to request an alternative Listed Vet where this is reasonable and feasible.</w:t>
            </w:r>
          </w:p>
        </w:tc>
      </w:tr>
      <w:tr w:rsidR="00127C7E" w:rsidRPr="0033323E" w14:paraId="13A4A5CD" w14:textId="77777777" w:rsidTr="00127C7E">
        <w:tc>
          <w:tcPr>
            <w:tcW w:w="1517" w:type="dxa"/>
            <w:vMerge/>
            <w:shd w:val="clear" w:color="auto" w:fill="auto"/>
          </w:tcPr>
          <w:p w14:paraId="20637A66" w14:textId="77777777" w:rsidR="00127C7E" w:rsidRPr="0033323E" w:rsidRDefault="00127C7E" w:rsidP="009206EA">
            <w:pPr>
              <w:rPr>
                <w:color w:val="000000" w:themeColor="text1"/>
              </w:rPr>
            </w:pPr>
          </w:p>
        </w:tc>
        <w:tc>
          <w:tcPr>
            <w:tcW w:w="3023" w:type="dxa"/>
            <w:shd w:val="clear" w:color="auto" w:fill="auto"/>
          </w:tcPr>
          <w:p w14:paraId="235B4FCE" w14:textId="17A20C10" w:rsidR="00127C7E" w:rsidRDefault="00127C7E" w:rsidP="009206EA">
            <w:pPr>
              <w:rPr>
                <w:color w:val="000000" w:themeColor="text1"/>
              </w:rPr>
            </w:pPr>
            <w:r>
              <w:rPr>
                <w:color w:val="000000" w:themeColor="text1"/>
              </w:rPr>
              <w:t>Conduct of the Inspection</w:t>
            </w:r>
          </w:p>
        </w:tc>
        <w:tc>
          <w:tcPr>
            <w:tcW w:w="9489" w:type="dxa"/>
            <w:shd w:val="clear" w:color="auto" w:fill="auto"/>
          </w:tcPr>
          <w:p w14:paraId="53DC1A54" w14:textId="77777777" w:rsidR="00127C7E" w:rsidRDefault="00127C7E" w:rsidP="00823465">
            <w:pPr>
              <w:pStyle w:val="ListParagraph"/>
              <w:numPr>
                <w:ilvl w:val="0"/>
                <w:numId w:val="2"/>
              </w:numPr>
              <w:ind w:left="462" w:hanging="462"/>
              <w:rPr>
                <w:color w:val="000000" w:themeColor="text1"/>
              </w:rPr>
            </w:pPr>
            <w:r>
              <w:rPr>
                <w:color w:val="000000" w:themeColor="text1"/>
              </w:rPr>
              <w:t>There is significant cross-over between those aspects of the Regulations inspected by the Listed Vet and those inspected by the LAs Inspector.</w:t>
            </w:r>
          </w:p>
          <w:p w14:paraId="011166E2" w14:textId="7E308188" w:rsidR="00127C7E" w:rsidRDefault="00127C7E" w:rsidP="00823465">
            <w:pPr>
              <w:pStyle w:val="ListParagraph"/>
              <w:numPr>
                <w:ilvl w:val="0"/>
                <w:numId w:val="2"/>
              </w:numPr>
              <w:ind w:left="462" w:hanging="462"/>
              <w:rPr>
                <w:color w:val="000000" w:themeColor="text1"/>
              </w:rPr>
            </w:pPr>
            <w:r>
              <w:rPr>
                <w:i/>
                <w:iCs/>
                <w:color w:val="000000" w:themeColor="text1"/>
              </w:rPr>
              <w:t>We believe that the totality of the inspection is the combination of the Listed Vet Report and LAs’ Report.  The content of these 2 Reports should be</w:t>
            </w:r>
            <w:r w:rsidR="00D460A3">
              <w:rPr>
                <w:i/>
                <w:iCs/>
                <w:color w:val="000000" w:themeColor="text1"/>
              </w:rPr>
              <w:t xml:space="preserve"> dovetail.  Both reports need to be</w:t>
            </w:r>
            <w:r>
              <w:rPr>
                <w:i/>
                <w:iCs/>
                <w:color w:val="000000" w:themeColor="text1"/>
              </w:rPr>
              <w:t xml:space="preserve"> rationalised and standardised to reduce overlap and streamline the licencing inspection (ie who between the Listed Vet and LA Inspector is responsible for inspecting what).</w:t>
            </w:r>
            <w:r w:rsidR="00EA6907">
              <w:rPr>
                <w:i/>
                <w:iCs/>
                <w:color w:val="000000" w:themeColor="text1"/>
              </w:rPr>
              <w:t xml:space="preserve">  We suspect this would have a greater impact on the scope of activity for the LA inspector than the Listed Vet.</w:t>
            </w:r>
          </w:p>
        </w:tc>
      </w:tr>
      <w:tr w:rsidR="00127C7E" w:rsidRPr="0033323E" w14:paraId="5AFFE6B0" w14:textId="77777777" w:rsidTr="00127C7E">
        <w:tc>
          <w:tcPr>
            <w:tcW w:w="1517" w:type="dxa"/>
            <w:vMerge/>
            <w:shd w:val="clear" w:color="auto" w:fill="auto"/>
          </w:tcPr>
          <w:p w14:paraId="114282D1" w14:textId="77777777" w:rsidR="00127C7E" w:rsidRDefault="00127C7E" w:rsidP="009206EA">
            <w:pPr>
              <w:rPr>
                <w:color w:val="000000" w:themeColor="text1"/>
              </w:rPr>
            </w:pPr>
          </w:p>
        </w:tc>
        <w:tc>
          <w:tcPr>
            <w:tcW w:w="3023" w:type="dxa"/>
            <w:shd w:val="clear" w:color="auto" w:fill="auto"/>
          </w:tcPr>
          <w:p w14:paraId="3FA14B17" w14:textId="1231E428" w:rsidR="00127C7E" w:rsidRDefault="007436A8" w:rsidP="009206EA">
            <w:pPr>
              <w:rPr>
                <w:color w:val="000000" w:themeColor="text1"/>
              </w:rPr>
            </w:pPr>
            <w:r>
              <w:rPr>
                <w:color w:val="000000" w:themeColor="text1"/>
              </w:rPr>
              <w:t>Size of Schools</w:t>
            </w:r>
          </w:p>
        </w:tc>
        <w:tc>
          <w:tcPr>
            <w:tcW w:w="9489" w:type="dxa"/>
            <w:shd w:val="clear" w:color="auto" w:fill="auto"/>
          </w:tcPr>
          <w:p w14:paraId="3960EDA9" w14:textId="2B991B14" w:rsidR="00127C7E" w:rsidRPr="00EA6907" w:rsidRDefault="007436A8" w:rsidP="00823465">
            <w:pPr>
              <w:pStyle w:val="ListParagraph"/>
              <w:numPr>
                <w:ilvl w:val="0"/>
                <w:numId w:val="2"/>
              </w:numPr>
              <w:ind w:left="462" w:hanging="462"/>
              <w:rPr>
                <w:color w:val="000000" w:themeColor="text1"/>
              </w:rPr>
            </w:pPr>
            <w:r>
              <w:rPr>
                <w:color w:val="000000" w:themeColor="text1"/>
              </w:rPr>
              <w:t>The Guidance does not acknowledge the huge variation in the size and purposes of schools</w:t>
            </w:r>
            <w:r w:rsidR="009F2DBB">
              <w:rPr>
                <w:color w:val="000000" w:themeColor="text1"/>
              </w:rPr>
              <w:t>.  The ABRS has proprietor/licensee run schools with only 6 ponies</w:t>
            </w:r>
            <w:r w:rsidR="00CD6C74">
              <w:rPr>
                <w:color w:val="000000" w:themeColor="text1"/>
              </w:rPr>
              <w:t xml:space="preserve"> and these are expected to meet the same standards as a school with 20 horses</w:t>
            </w:r>
            <w:r w:rsidR="00CE38C7">
              <w:rPr>
                <w:color w:val="000000" w:themeColor="text1"/>
              </w:rPr>
              <w:t xml:space="preserve">.  This a particular issue </w:t>
            </w:r>
            <w:r w:rsidR="00CE38C7" w:rsidRPr="00EA6907">
              <w:rPr>
                <w:b/>
                <w:bCs/>
                <w:color w:val="000000" w:themeColor="text1"/>
              </w:rPr>
              <w:t xml:space="preserve">on </w:t>
            </w:r>
            <w:r w:rsidR="0049134C" w:rsidRPr="00EA6907">
              <w:rPr>
                <w:b/>
                <w:bCs/>
                <w:color w:val="000000" w:themeColor="text1"/>
              </w:rPr>
              <w:t xml:space="preserve">achieving </w:t>
            </w:r>
            <w:r w:rsidR="00CE38C7" w:rsidRPr="00EA6907">
              <w:rPr>
                <w:b/>
                <w:bCs/>
                <w:color w:val="000000" w:themeColor="text1"/>
              </w:rPr>
              <w:t>the higher standards</w:t>
            </w:r>
            <w:r w:rsidR="00EA6907">
              <w:rPr>
                <w:b/>
                <w:bCs/>
                <w:color w:val="000000" w:themeColor="text1"/>
              </w:rPr>
              <w:t xml:space="preserve"> </w:t>
            </w:r>
            <w:r w:rsidR="00EA6907" w:rsidRPr="00EA6907">
              <w:rPr>
                <w:color w:val="000000" w:themeColor="text1"/>
              </w:rPr>
              <w:t>– which must be met for a 3-year licence.</w:t>
            </w:r>
          </w:p>
          <w:p w14:paraId="29CA8FEB" w14:textId="5CAB2E4E" w:rsidR="00CE38C7" w:rsidRDefault="00CE38C7" w:rsidP="00823465">
            <w:pPr>
              <w:pStyle w:val="ListParagraph"/>
              <w:numPr>
                <w:ilvl w:val="0"/>
                <w:numId w:val="2"/>
              </w:numPr>
              <w:ind w:left="462" w:hanging="462"/>
              <w:rPr>
                <w:color w:val="000000" w:themeColor="text1"/>
              </w:rPr>
            </w:pPr>
            <w:r>
              <w:rPr>
                <w:i/>
                <w:iCs/>
                <w:color w:val="000000" w:themeColor="text1"/>
              </w:rPr>
              <w:t>We believe the guidance should</w:t>
            </w:r>
            <w:r w:rsidR="0049134C">
              <w:rPr>
                <w:i/>
                <w:iCs/>
                <w:color w:val="000000" w:themeColor="text1"/>
              </w:rPr>
              <w:t xml:space="preserve"> allow the LA</w:t>
            </w:r>
            <w:r w:rsidR="00943D90">
              <w:rPr>
                <w:i/>
                <w:iCs/>
                <w:color w:val="000000" w:themeColor="text1"/>
              </w:rPr>
              <w:t xml:space="preserve"> Inspector to take account of the size and nature of the school when conducting the inspect</w:t>
            </w:r>
            <w:r w:rsidR="00077622">
              <w:rPr>
                <w:i/>
                <w:iCs/>
                <w:color w:val="000000" w:themeColor="text1"/>
              </w:rPr>
              <w:t>ion</w:t>
            </w:r>
            <w:r w:rsidR="00EA6907">
              <w:rPr>
                <w:i/>
                <w:iCs/>
                <w:color w:val="000000" w:themeColor="text1"/>
              </w:rPr>
              <w:t xml:space="preserve"> and to vary the Star Rating upwards were this is fair and reasonable.</w:t>
            </w:r>
          </w:p>
        </w:tc>
      </w:tr>
      <w:tr w:rsidR="00573042" w:rsidRPr="0033323E" w14:paraId="64FF17D3" w14:textId="77777777" w:rsidTr="00127C7E">
        <w:tc>
          <w:tcPr>
            <w:tcW w:w="1517" w:type="dxa"/>
            <w:shd w:val="clear" w:color="auto" w:fill="auto"/>
          </w:tcPr>
          <w:p w14:paraId="301585A9" w14:textId="087D9D88" w:rsidR="00573042" w:rsidRPr="0033323E" w:rsidRDefault="00573042" w:rsidP="009206EA">
            <w:pPr>
              <w:rPr>
                <w:color w:val="000000" w:themeColor="text1"/>
              </w:rPr>
            </w:pPr>
            <w:r>
              <w:rPr>
                <w:color w:val="000000" w:themeColor="text1"/>
              </w:rPr>
              <w:t>4.2</w:t>
            </w:r>
          </w:p>
        </w:tc>
        <w:tc>
          <w:tcPr>
            <w:tcW w:w="3023" w:type="dxa"/>
            <w:shd w:val="clear" w:color="auto" w:fill="auto"/>
          </w:tcPr>
          <w:p w14:paraId="44B56030" w14:textId="6F88DB78" w:rsidR="00573042" w:rsidRDefault="00573042" w:rsidP="009206EA">
            <w:pPr>
              <w:rPr>
                <w:color w:val="000000" w:themeColor="text1"/>
              </w:rPr>
            </w:pPr>
            <w:r>
              <w:rPr>
                <w:color w:val="000000" w:themeColor="text1"/>
              </w:rPr>
              <w:t>Qualification of staff who care for horses</w:t>
            </w:r>
          </w:p>
        </w:tc>
        <w:tc>
          <w:tcPr>
            <w:tcW w:w="9489" w:type="dxa"/>
            <w:shd w:val="clear" w:color="auto" w:fill="auto"/>
          </w:tcPr>
          <w:p w14:paraId="2F598AB1" w14:textId="259D2B23" w:rsidR="00573042" w:rsidRDefault="00914845" w:rsidP="00823465">
            <w:pPr>
              <w:pStyle w:val="ListParagraph"/>
              <w:numPr>
                <w:ilvl w:val="0"/>
                <w:numId w:val="2"/>
              </w:numPr>
              <w:ind w:left="462" w:hanging="462"/>
              <w:rPr>
                <w:color w:val="000000" w:themeColor="text1"/>
              </w:rPr>
            </w:pPr>
            <w:r>
              <w:rPr>
                <w:color w:val="000000" w:themeColor="text1"/>
              </w:rPr>
              <w:t xml:space="preserve">The Guidance was amended to require staff who care for horses to have a </w:t>
            </w:r>
            <w:r w:rsidR="007943B5" w:rsidRPr="007943B5">
              <w:rPr>
                <w:color w:val="000000" w:themeColor="text1"/>
              </w:rPr>
              <w:t>Level 2 Ofqual regulated qualification</w:t>
            </w:r>
            <w:r w:rsidR="007943B5">
              <w:rPr>
                <w:color w:val="000000" w:themeColor="text1"/>
              </w:rPr>
              <w:t>, and</w:t>
            </w:r>
            <w:r w:rsidR="00351B58">
              <w:rPr>
                <w:color w:val="000000" w:themeColor="text1"/>
              </w:rPr>
              <w:t>/or show</w:t>
            </w:r>
            <w:r w:rsidR="007943B5">
              <w:rPr>
                <w:color w:val="000000" w:themeColor="text1"/>
              </w:rPr>
              <w:t xml:space="preserve"> </w:t>
            </w:r>
            <w:r w:rsidR="007943B5" w:rsidRPr="007943B5">
              <w:rPr>
                <w:color w:val="000000" w:themeColor="text1"/>
              </w:rPr>
              <w:t>relevant and sufficient knowledge and experience</w:t>
            </w:r>
            <w:r w:rsidR="007943B5">
              <w:rPr>
                <w:color w:val="000000" w:themeColor="text1"/>
              </w:rPr>
              <w:t>.</w:t>
            </w:r>
          </w:p>
          <w:p w14:paraId="4B410C91" w14:textId="41E51F27" w:rsidR="000E1612" w:rsidRDefault="000E1612" w:rsidP="00823465">
            <w:pPr>
              <w:pStyle w:val="ListParagraph"/>
              <w:numPr>
                <w:ilvl w:val="0"/>
                <w:numId w:val="2"/>
              </w:numPr>
              <w:ind w:left="462" w:hanging="462"/>
              <w:rPr>
                <w:color w:val="000000" w:themeColor="text1"/>
              </w:rPr>
            </w:pPr>
            <w:r>
              <w:rPr>
                <w:color w:val="000000" w:themeColor="text1"/>
              </w:rPr>
              <w:t>Our experience is that, within a School,</w:t>
            </w:r>
            <w:r w:rsidR="006A483C">
              <w:rPr>
                <w:color w:val="000000" w:themeColor="text1"/>
              </w:rPr>
              <w:t xml:space="preserve"> there </w:t>
            </w:r>
            <w:r w:rsidR="00EA6907">
              <w:rPr>
                <w:color w:val="000000" w:themeColor="text1"/>
              </w:rPr>
              <w:t>is often a mix o</w:t>
            </w:r>
            <w:r w:rsidR="006A483C">
              <w:rPr>
                <w:color w:val="000000" w:themeColor="text1"/>
              </w:rPr>
              <w:t xml:space="preserve">f staff performing aspects of </w:t>
            </w:r>
            <w:r w:rsidR="00EA6907">
              <w:rPr>
                <w:color w:val="000000" w:themeColor="text1"/>
              </w:rPr>
              <w:t xml:space="preserve">horse </w:t>
            </w:r>
            <w:r w:rsidR="006A483C">
              <w:rPr>
                <w:color w:val="000000" w:themeColor="text1"/>
              </w:rPr>
              <w:t>care</w:t>
            </w:r>
            <w:r w:rsidR="00586699">
              <w:rPr>
                <w:color w:val="000000" w:themeColor="text1"/>
              </w:rPr>
              <w:t xml:space="preserve"> (including volunteers).  The guidance suggests</w:t>
            </w:r>
            <w:r w:rsidR="007F6F5B">
              <w:rPr>
                <w:color w:val="000000" w:themeColor="text1"/>
              </w:rPr>
              <w:t xml:space="preserve"> that all must be L2 qualified or working towards a L2</w:t>
            </w:r>
            <w:r w:rsidR="00B214C7">
              <w:rPr>
                <w:color w:val="000000" w:themeColor="text1"/>
              </w:rPr>
              <w:t xml:space="preserve"> qualification.</w:t>
            </w:r>
          </w:p>
          <w:p w14:paraId="7D37E953" w14:textId="20CF661A" w:rsidR="00B214C7" w:rsidRDefault="00B214C7" w:rsidP="00823465">
            <w:pPr>
              <w:pStyle w:val="ListParagraph"/>
              <w:numPr>
                <w:ilvl w:val="0"/>
                <w:numId w:val="2"/>
              </w:numPr>
              <w:ind w:left="462" w:hanging="462"/>
              <w:rPr>
                <w:color w:val="000000" w:themeColor="text1"/>
              </w:rPr>
            </w:pPr>
            <w:r>
              <w:rPr>
                <w:i/>
                <w:iCs/>
                <w:color w:val="000000" w:themeColor="text1"/>
              </w:rPr>
              <w:t xml:space="preserve">We believe that staff should be encouraged to </w:t>
            </w:r>
            <w:r w:rsidR="00E740AF">
              <w:rPr>
                <w:i/>
                <w:iCs/>
                <w:color w:val="000000" w:themeColor="text1"/>
              </w:rPr>
              <w:t>learn and, where appropriate, gain qualifications but this requirement is</w:t>
            </w:r>
            <w:r w:rsidR="00836A2B">
              <w:rPr>
                <w:i/>
                <w:iCs/>
                <w:color w:val="000000" w:themeColor="text1"/>
              </w:rPr>
              <w:t xml:space="preserve"> drafted</w:t>
            </w:r>
            <w:r w:rsidR="00EA6907">
              <w:rPr>
                <w:i/>
                <w:iCs/>
                <w:color w:val="000000" w:themeColor="text1"/>
              </w:rPr>
              <w:t xml:space="preserve"> too narrowly</w:t>
            </w:r>
            <w:r w:rsidR="00836A2B">
              <w:rPr>
                <w:i/>
                <w:iCs/>
                <w:color w:val="000000" w:themeColor="text1"/>
              </w:rPr>
              <w:t xml:space="preserve">.  </w:t>
            </w:r>
            <w:r w:rsidR="0099218E">
              <w:rPr>
                <w:i/>
                <w:iCs/>
                <w:color w:val="000000" w:themeColor="text1"/>
              </w:rPr>
              <w:t xml:space="preserve">As </w:t>
            </w:r>
            <w:r w:rsidR="00EA6907">
              <w:rPr>
                <w:i/>
                <w:iCs/>
                <w:color w:val="000000" w:themeColor="text1"/>
              </w:rPr>
              <w:t>currently written</w:t>
            </w:r>
            <w:r w:rsidR="0099218E">
              <w:rPr>
                <w:i/>
                <w:iCs/>
                <w:color w:val="000000" w:themeColor="text1"/>
              </w:rPr>
              <w:t xml:space="preserve"> it could exacerbate</w:t>
            </w:r>
            <w:r w:rsidR="002154C9">
              <w:rPr>
                <w:i/>
                <w:iCs/>
                <w:color w:val="000000" w:themeColor="text1"/>
              </w:rPr>
              <w:t xml:space="preserve"> an existing</w:t>
            </w:r>
            <w:r w:rsidR="00EC1870">
              <w:rPr>
                <w:i/>
                <w:iCs/>
                <w:color w:val="000000" w:themeColor="text1"/>
              </w:rPr>
              <w:t xml:space="preserve"> crisis in the workforce</w:t>
            </w:r>
            <w:r w:rsidR="00621E40">
              <w:rPr>
                <w:i/>
                <w:iCs/>
                <w:color w:val="000000" w:themeColor="text1"/>
              </w:rPr>
              <w:t>, with</w:t>
            </w:r>
            <w:r w:rsidR="00EA6907">
              <w:rPr>
                <w:i/>
                <w:iCs/>
                <w:color w:val="000000" w:themeColor="text1"/>
              </w:rPr>
              <w:t xml:space="preserve"> is reflected in</w:t>
            </w:r>
            <w:r w:rsidR="00621E40">
              <w:rPr>
                <w:i/>
                <w:iCs/>
                <w:color w:val="000000" w:themeColor="text1"/>
              </w:rPr>
              <w:t xml:space="preserve"> a huge shortfall and </w:t>
            </w:r>
            <w:r w:rsidR="0099218E">
              <w:rPr>
                <w:i/>
                <w:iCs/>
                <w:color w:val="000000" w:themeColor="text1"/>
              </w:rPr>
              <w:t>significant gaps in manning</w:t>
            </w:r>
            <w:r w:rsidR="002154C9">
              <w:rPr>
                <w:i/>
                <w:iCs/>
                <w:color w:val="000000" w:themeColor="text1"/>
              </w:rPr>
              <w:t>.</w:t>
            </w:r>
          </w:p>
        </w:tc>
      </w:tr>
      <w:tr w:rsidR="006A1D48" w:rsidRPr="0033323E" w14:paraId="297C7470" w14:textId="77777777" w:rsidTr="00127C7E">
        <w:tc>
          <w:tcPr>
            <w:tcW w:w="1517" w:type="dxa"/>
            <w:shd w:val="clear" w:color="auto" w:fill="auto"/>
          </w:tcPr>
          <w:p w14:paraId="39969C9D" w14:textId="08F132A4" w:rsidR="006A1D48" w:rsidRDefault="006A1D48" w:rsidP="009206EA">
            <w:pPr>
              <w:rPr>
                <w:color w:val="000000" w:themeColor="text1"/>
              </w:rPr>
            </w:pPr>
            <w:r>
              <w:rPr>
                <w:color w:val="000000" w:themeColor="text1"/>
              </w:rPr>
              <w:t>6.0</w:t>
            </w:r>
          </w:p>
        </w:tc>
        <w:tc>
          <w:tcPr>
            <w:tcW w:w="3023" w:type="dxa"/>
            <w:shd w:val="clear" w:color="auto" w:fill="auto"/>
          </w:tcPr>
          <w:p w14:paraId="6202FB6A" w14:textId="1A2974E9" w:rsidR="006A1D48" w:rsidRDefault="00303FB0" w:rsidP="009206EA">
            <w:pPr>
              <w:rPr>
                <w:color w:val="000000" w:themeColor="text1"/>
              </w:rPr>
            </w:pPr>
            <w:r>
              <w:rPr>
                <w:color w:val="000000" w:themeColor="text1"/>
              </w:rPr>
              <w:t>P</w:t>
            </w:r>
            <w:r w:rsidRPr="00303FB0">
              <w:rPr>
                <w:color w:val="000000" w:themeColor="text1"/>
              </w:rPr>
              <w:t xml:space="preserve">lan or record of the quantity, </w:t>
            </w:r>
            <w:r w:rsidR="00FC1AE3" w:rsidRPr="00303FB0">
              <w:rPr>
                <w:color w:val="000000" w:themeColor="text1"/>
              </w:rPr>
              <w:t>frequency,</w:t>
            </w:r>
            <w:r w:rsidRPr="00303FB0">
              <w:rPr>
                <w:color w:val="000000" w:themeColor="text1"/>
              </w:rPr>
              <w:t xml:space="preserve"> and type of food</w:t>
            </w:r>
          </w:p>
        </w:tc>
        <w:tc>
          <w:tcPr>
            <w:tcW w:w="9489" w:type="dxa"/>
            <w:shd w:val="clear" w:color="auto" w:fill="auto"/>
          </w:tcPr>
          <w:p w14:paraId="277408A5" w14:textId="13B9CC04" w:rsidR="006A1D48" w:rsidRDefault="00303FB0" w:rsidP="00823465">
            <w:pPr>
              <w:pStyle w:val="ListParagraph"/>
              <w:numPr>
                <w:ilvl w:val="0"/>
                <w:numId w:val="2"/>
              </w:numPr>
              <w:ind w:left="462" w:hanging="462"/>
              <w:rPr>
                <w:color w:val="000000" w:themeColor="text1"/>
              </w:rPr>
            </w:pPr>
            <w:r w:rsidRPr="00303FB0">
              <w:rPr>
                <w:color w:val="000000" w:themeColor="text1"/>
              </w:rPr>
              <w:t>Plan and Record are not the same!</w:t>
            </w:r>
          </w:p>
        </w:tc>
      </w:tr>
      <w:tr w:rsidR="00DD0926" w:rsidRPr="0033323E" w14:paraId="6B546B37" w14:textId="77777777" w:rsidTr="00127C7E">
        <w:tc>
          <w:tcPr>
            <w:tcW w:w="1517" w:type="dxa"/>
            <w:shd w:val="clear" w:color="auto" w:fill="auto"/>
          </w:tcPr>
          <w:p w14:paraId="2A35B5F2" w14:textId="794C7319" w:rsidR="00DD0926" w:rsidRDefault="00DD0926" w:rsidP="009206EA">
            <w:pPr>
              <w:rPr>
                <w:color w:val="000000" w:themeColor="text1"/>
              </w:rPr>
            </w:pPr>
            <w:r>
              <w:rPr>
                <w:color w:val="000000" w:themeColor="text1"/>
              </w:rPr>
              <w:t>6.2</w:t>
            </w:r>
          </w:p>
        </w:tc>
        <w:tc>
          <w:tcPr>
            <w:tcW w:w="3023" w:type="dxa"/>
            <w:shd w:val="clear" w:color="auto" w:fill="auto"/>
          </w:tcPr>
          <w:p w14:paraId="6991D83C" w14:textId="4C0FC71F" w:rsidR="00DD0926" w:rsidRDefault="001A6AF6" w:rsidP="009206EA">
            <w:pPr>
              <w:rPr>
                <w:color w:val="000000" w:themeColor="text1"/>
              </w:rPr>
            </w:pPr>
            <w:r>
              <w:rPr>
                <w:color w:val="000000" w:themeColor="text1"/>
              </w:rPr>
              <w:t>Guidance v instruction</w:t>
            </w:r>
          </w:p>
        </w:tc>
        <w:tc>
          <w:tcPr>
            <w:tcW w:w="9489" w:type="dxa"/>
            <w:shd w:val="clear" w:color="auto" w:fill="auto"/>
          </w:tcPr>
          <w:p w14:paraId="58F2D579" w14:textId="77777777" w:rsidR="0003054F" w:rsidRDefault="00635FD9" w:rsidP="0003054F">
            <w:pPr>
              <w:pStyle w:val="ListParagraph"/>
              <w:numPr>
                <w:ilvl w:val="0"/>
                <w:numId w:val="2"/>
              </w:numPr>
              <w:ind w:left="462" w:hanging="462"/>
              <w:rPr>
                <w:color w:val="000000" w:themeColor="text1"/>
              </w:rPr>
            </w:pPr>
            <w:r>
              <w:rPr>
                <w:color w:val="000000" w:themeColor="text1"/>
              </w:rPr>
              <w:t xml:space="preserve">The guidance </w:t>
            </w:r>
            <w:r w:rsidR="0091710D">
              <w:rPr>
                <w:color w:val="000000" w:themeColor="text1"/>
              </w:rPr>
              <w:t xml:space="preserve">should provide an interpretation of the Regulations </w:t>
            </w:r>
            <w:r w:rsidR="00BD375B">
              <w:rPr>
                <w:color w:val="000000" w:themeColor="text1"/>
              </w:rPr>
              <w:t>in a manner that allows the LA Inspector to judge compliance.  There are areas of the Guidance that</w:t>
            </w:r>
            <w:r w:rsidR="0003054F">
              <w:rPr>
                <w:color w:val="000000" w:themeColor="text1"/>
              </w:rPr>
              <w:t xml:space="preserve"> stray into animal management rather that regulation guidance:</w:t>
            </w:r>
          </w:p>
          <w:p w14:paraId="609DF98B" w14:textId="77777777" w:rsidR="0014203B" w:rsidRDefault="0014203B" w:rsidP="0015595C">
            <w:pPr>
              <w:pStyle w:val="ListParagraph"/>
              <w:numPr>
                <w:ilvl w:val="1"/>
                <w:numId w:val="2"/>
              </w:numPr>
              <w:ind w:left="1029" w:hanging="567"/>
              <w:rPr>
                <w:color w:val="000000" w:themeColor="text1"/>
              </w:rPr>
            </w:pPr>
            <w:r>
              <w:rPr>
                <w:color w:val="000000" w:themeColor="text1"/>
              </w:rPr>
              <w:lastRenderedPageBreak/>
              <w:t>‘</w:t>
            </w:r>
            <w:r w:rsidRPr="0014203B">
              <w:rPr>
                <w:color w:val="000000" w:themeColor="text1"/>
              </w:rPr>
              <w:t>If a horse has no appetite for longer than 6 hours, veterinary advice must be sought. Seek advice from a vet earlier if there are specific concerns about diet or a lack of appetite.</w:t>
            </w:r>
          </w:p>
          <w:p w14:paraId="1B21660B" w14:textId="36DB594F" w:rsidR="00EE65B4" w:rsidRPr="00EE65B4" w:rsidRDefault="00EE65B4" w:rsidP="00EE65B4">
            <w:pPr>
              <w:ind w:left="462"/>
              <w:rPr>
                <w:color w:val="000000" w:themeColor="text1"/>
              </w:rPr>
            </w:pPr>
            <w:r>
              <w:rPr>
                <w:color w:val="000000" w:themeColor="text1"/>
              </w:rPr>
              <w:t xml:space="preserve">While this may be an accurate animal welfare statement, it is not written as an inspection criteria and, in any event, there are a range of animal health conditions that would merit </w:t>
            </w:r>
            <w:r w:rsidR="007866C7">
              <w:rPr>
                <w:color w:val="000000" w:themeColor="text1"/>
              </w:rPr>
              <w:t>the calling out of a vet.</w:t>
            </w:r>
          </w:p>
        </w:tc>
      </w:tr>
      <w:tr w:rsidR="006A0B26" w:rsidRPr="0033323E" w14:paraId="4ED2928E" w14:textId="77777777" w:rsidTr="00127C7E">
        <w:tc>
          <w:tcPr>
            <w:tcW w:w="1517" w:type="dxa"/>
            <w:shd w:val="clear" w:color="auto" w:fill="auto"/>
          </w:tcPr>
          <w:p w14:paraId="46211FD0" w14:textId="146321FE" w:rsidR="006A0B26" w:rsidRDefault="006A0B26" w:rsidP="009206EA">
            <w:pPr>
              <w:rPr>
                <w:color w:val="000000" w:themeColor="text1"/>
              </w:rPr>
            </w:pPr>
            <w:r>
              <w:rPr>
                <w:color w:val="000000" w:themeColor="text1"/>
              </w:rPr>
              <w:lastRenderedPageBreak/>
              <w:t>6.3</w:t>
            </w:r>
          </w:p>
        </w:tc>
        <w:tc>
          <w:tcPr>
            <w:tcW w:w="3023" w:type="dxa"/>
            <w:shd w:val="clear" w:color="auto" w:fill="auto"/>
          </w:tcPr>
          <w:p w14:paraId="7FCE4B52" w14:textId="514FC980" w:rsidR="006A0B26" w:rsidRDefault="00E40D27" w:rsidP="009206EA">
            <w:pPr>
              <w:rPr>
                <w:color w:val="000000" w:themeColor="text1"/>
              </w:rPr>
            </w:pPr>
            <w:r>
              <w:rPr>
                <w:color w:val="000000" w:themeColor="text1"/>
              </w:rPr>
              <w:t>S</w:t>
            </w:r>
            <w:r w:rsidRPr="00E40D27">
              <w:rPr>
                <w:color w:val="000000" w:themeColor="text1"/>
              </w:rPr>
              <w:t>ystem in place for disposal of feed waste</w:t>
            </w:r>
          </w:p>
        </w:tc>
        <w:tc>
          <w:tcPr>
            <w:tcW w:w="9489" w:type="dxa"/>
            <w:shd w:val="clear" w:color="auto" w:fill="auto"/>
          </w:tcPr>
          <w:p w14:paraId="282C840C" w14:textId="5C5EED5C" w:rsidR="006A0B26" w:rsidRDefault="00E40D27" w:rsidP="00823465">
            <w:pPr>
              <w:pStyle w:val="ListParagraph"/>
              <w:numPr>
                <w:ilvl w:val="0"/>
                <w:numId w:val="2"/>
              </w:numPr>
              <w:ind w:left="462" w:hanging="462"/>
              <w:rPr>
                <w:color w:val="000000" w:themeColor="text1"/>
              </w:rPr>
            </w:pPr>
            <w:r>
              <w:rPr>
                <w:color w:val="000000" w:themeColor="text1"/>
              </w:rPr>
              <w:t>This generally not needed with horses</w:t>
            </w:r>
          </w:p>
        </w:tc>
      </w:tr>
      <w:tr w:rsidR="00C140E4" w:rsidRPr="0033323E" w14:paraId="3F4BDA98" w14:textId="77777777" w:rsidTr="00127C7E">
        <w:tc>
          <w:tcPr>
            <w:tcW w:w="1517" w:type="dxa"/>
            <w:shd w:val="clear" w:color="auto" w:fill="auto"/>
          </w:tcPr>
          <w:p w14:paraId="1888A606" w14:textId="5DFC0794" w:rsidR="00C140E4" w:rsidRDefault="00C140E4" w:rsidP="009206EA">
            <w:pPr>
              <w:rPr>
                <w:color w:val="000000" w:themeColor="text1"/>
              </w:rPr>
            </w:pPr>
            <w:r>
              <w:rPr>
                <w:color w:val="000000" w:themeColor="text1"/>
              </w:rPr>
              <w:t>6.6</w:t>
            </w:r>
          </w:p>
        </w:tc>
        <w:tc>
          <w:tcPr>
            <w:tcW w:w="3023" w:type="dxa"/>
            <w:shd w:val="clear" w:color="auto" w:fill="auto"/>
          </w:tcPr>
          <w:p w14:paraId="4D560540" w14:textId="35371F0E" w:rsidR="00C140E4" w:rsidRDefault="006C1063" w:rsidP="009206EA">
            <w:pPr>
              <w:rPr>
                <w:color w:val="000000" w:themeColor="text1"/>
              </w:rPr>
            </w:pPr>
            <w:r>
              <w:rPr>
                <w:color w:val="000000" w:themeColor="text1"/>
              </w:rPr>
              <w:t>H</w:t>
            </w:r>
            <w:r w:rsidRPr="006C1063">
              <w:rPr>
                <w:color w:val="000000" w:themeColor="text1"/>
              </w:rPr>
              <w:t>ot and cold hand washing facilities</w:t>
            </w:r>
            <w:r>
              <w:rPr>
                <w:color w:val="000000" w:themeColor="text1"/>
              </w:rPr>
              <w:t xml:space="preserve"> in feed rooms</w:t>
            </w:r>
          </w:p>
        </w:tc>
        <w:tc>
          <w:tcPr>
            <w:tcW w:w="9489" w:type="dxa"/>
            <w:shd w:val="clear" w:color="auto" w:fill="auto"/>
          </w:tcPr>
          <w:p w14:paraId="7814569E" w14:textId="7E7ED25D" w:rsidR="00C140E4" w:rsidRDefault="006C1063" w:rsidP="00823465">
            <w:pPr>
              <w:pStyle w:val="ListParagraph"/>
              <w:numPr>
                <w:ilvl w:val="0"/>
                <w:numId w:val="2"/>
              </w:numPr>
              <w:ind w:left="462" w:hanging="462"/>
              <w:rPr>
                <w:color w:val="000000" w:themeColor="text1"/>
              </w:rPr>
            </w:pPr>
            <w:r>
              <w:rPr>
                <w:color w:val="000000" w:themeColor="text1"/>
              </w:rPr>
              <w:t>Most yards will not have this</w:t>
            </w:r>
          </w:p>
        </w:tc>
      </w:tr>
      <w:tr w:rsidR="005015D5" w:rsidRPr="0033323E" w14:paraId="6164596D" w14:textId="77777777" w:rsidTr="00127C7E">
        <w:tc>
          <w:tcPr>
            <w:tcW w:w="1517" w:type="dxa"/>
            <w:shd w:val="clear" w:color="auto" w:fill="auto"/>
          </w:tcPr>
          <w:p w14:paraId="5DF73050" w14:textId="0C825D11" w:rsidR="005015D5" w:rsidRDefault="005015D5" w:rsidP="009206EA">
            <w:pPr>
              <w:rPr>
                <w:color w:val="000000" w:themeColor="text1"/>
              </w:rPr>
            </w:pPr>
            <w:r>
              <w:rPr>
                <w:color w:val="000000" w:themeColor="text1"/>
              </w:rPr>
              <w:t>Higher Stnd</w:t>
            </w:r>
          </w:p>
        </w:tc>
        <w:tc>
          <w:tcPr>
            <w:tcW w:w="3023" w:type="dxa"/>
            <w:shd w:val="clear" w:color="auto" w:fill="auto"/>
          </w:tcPr>
          <w:p w14:paraId="6F0546D3" w14:textId="5E8DB72F" w:rsidR="005015D5" w:rsidRDefault="00AD4DF6" w:rsidP="009206EA">
            <w:pPr>
              <w:rPr>
                <w:color w:val="000000" w:themeColor="text1"/>
              </w:rPr>
            </w:pPr>
            <w:r>
              <w:rPr>
                <w:color w:val="000000" w:themeColor="text1"/>
              </w:rPr>
              <w:t>P</w:t>
            </w:r>
            <w:r w:rsidRPr="00AD4DF6">
              <w:rPr>
                <w:color w:val="000000" w:themeColor="text1"/>
              </w:rPr>
              <w:t>urpose</w:t>
            </w:r>
            <w:r>
              <w:rPr>
                <w:color w:val="000000" w:themeColor="text1"/>
              </w:rPr>
              <w:t>-</w:t>
            </w:r>
            <w:r w:rsidRPr="00AD4DF6">
              <w:rPr>
                <w:color w:val="000000" w:themeColor="text1"/>
              </w:rPr>
              <w:t>built feed room with water available</w:t>
            </w:r>
          </w:p>
        </w:tc>
        <w:tc>
          <w:tcPr>
            <w:tcW w:w="9489" w:type="dxa"/>
            <w:shd w:val="clear" w:color="auto" w:fill="auto"/>
          </w:tcPr>
          <w:p w14:paraId="387AFDB8" w14:textId="3B5555A8" w:rsidR="005015D5" w:rsidRDefault="00AD4DF6" w:rsidP="00823465">
            <w:pPr>
              <w:pStyle w:val="ListParagraph"/>
              <w:numPr>
                <w:ilvl w:val="0"/>
                <w:numId w:val="2"/>
              </w:numPr>
              <w:ind w:left="462" w:hanging="462"/>
              <w:rPr>
                <w:color w:val="000000" w:themeColor="text1"/>
              </w:rPr>
            </w:pPr>
            <w:r>
              <w:rPr>
                <w:color w:val="000000" w:themeColor="text1"/>
              </w:rPr>
              <w:t>Many yards will not have a tap within a feed room</w:t>
            </w:r>
          </w:p>
        </w:tc>
      </w:tr>
      <w:tr w:rsidR="00430EB3" w:rsidRPr="0033323E" w14:paraId="2CA35B53" w14:textId="77777777" w:rsidTr="00127C7E">
        <w:tc>
          <w:tcPr>
            <w:tcW w:w="1517" w:type="dxa"/>
            <w:shd w:val="clear" w:color="auto" w:fill="auto"/>
          </w:tcPr>
          <w:p w14:paraId="1CEDD226" w14:textId="68314F5C" w:rsidR="00430EB3" w:rsidRDefault="00430EB3" w:rsidP="009206EA">
            <w:pPr>
              <w:rPr>
                <w:color w:val="000000" w:themeColor="text1"/>
              </w:rPr>
            </w:pPr>
            <w:r>
              <w:rPr>
                <w:color w:val="000000" w:themeColor="text1"/>
              </w:rPr>
              <w:t>10.0</w:t>
            </w:r>
          </w:p>
        </w:tc>
        <w:tc>
          <w:tcPr>
            <w:tcW w:w="3023" w:type="dxa"/>
            <w:shd w:val="clear" w:color="auto" w:fill="auto"/>
          </w:tcPr>
          <w:p w14:paraId="6AA3C336" w14:textId="0FD5330C" w:rsidR="00430EB3" w:rsidRDefault="00CB4752" w:rsidP="009206EA">
            <w:pPr>
              <w:rPr>
                <w:color w:val="000000" w:themeColor="text1"/>
              </w:rPr>
            </w:pPr>
            <w:r>
              <w:rPr>
                <w:color w:val="000000" w:themeColor="text1"/>
              </w:rPr>
              <w:t>Provision of Fire Detection Equipment</w:t>
            </w:r>
          </w:p>
        </w:tc>
        <w:tc>
          <w:tcPr>
            <w:tcW w:w="9489" w:type="dxa"/>
            <w:shd w:val="clear" w:color="auto" w:fill="auto"/>
          </w:tcPr>
          <w:p w14:paraId="2784CC6E" w14:textId="6AA3FF67" w:rsidR="00430EB3" w:rsidRDefault="00CB4752" w:rsidP="00823465">
            <w:pPr>
              <w:pStyle w:val="ListParagraph"/>
              <w:numPr>
                <w:ilvl w:val="0"/>
                <w:numId w:val="2"/>
              </w:numPr>
              <w:ind w:left="462" w:hanging="462"/>
              <w:rPr>
                <w:color w:val="000000" w:themeColor="text1"/>
              </w:rPr>
            </w:pPr>
            <w:r>
              <w:rPr>
                <w:color w:val="000000" w:themeColor="text1"/>
              </w:rPr>
              <w:t xml:space="preserve">The revision of the Guidance undertaken in Feb 22 included a requirement for fire detection equipment.  The guidance </w:t>
            </w:r>
            <w:r w:rsidR="00EA6907">
              <w:rPr>
                <w:color w:val="000000" w:themeColor="text1"/>
              </w:rPr>
              <w:t>is t</w:t>
            </w:r>
            <w:r>
              <w:rPr>
                <w:color w:val="000000" w:themeColor="text1"/>
              </w:rPr>
              <w:t>oo general with LAs requesting different solutions</w:t>
            </w:r>
            <w:r w:rsidR="0077520D">
              <w:rPr>
                <w:color w:val="000000" w:themeColor="text1"/>
              </w:rPr>
              <w:t xml:space="preserve"> (and sometimes without regard to cost).  </w:t>
            </w:r>
            <w:r w:rsidR="00EA6907">
              <w:rPr>
                <w:color w:val="000000" w:themeColor="text1"/>
              </w:rPr>
              <w:t>The</w:t>
            </w:r>
            <w:r w:rsidR="00D13C5A">
              <w:rPr>
                <w:color w:val="000000" w:themeColor="text1"/>
              </w:rPr>
              <w:t xml:space="preserve"> correct solution should be derived from the Fire Assessment</w:t>
            </w:r>
            <w:r w:rsidR="00EA6907">
              <w:rPr>
                <w:color w:val="000000" w:themeColor="text1"/>
              </w:rPr>
              <w:t>.  T</w:t>
            </w:r>
            <w:r w:rsidR="0056573B">
              <w:rPr>
                <w:color w:val="000000" w:themeColor="text1"/>
              </w:rPr>
              <w:t>his section should be reworded.</w:t>
            </w:r>
          </w:p>
        </w:tc>
      </w:tr>
    </w:tbl>
    <w:p w14:paraId="7F722FFF" w14:textId="77777777" w:rsidR="0020073C" w:rsidRDefault="0020073C"/>
    <w:sectPr w:rsidR="0020073C" w:rsidSect="009B5656">
      <w:foot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9F0E26" w14:textId="77777777" w:rsidR="00382FF9" w:rsidRDefault="00382FF9" w:rsidP="00B47812">
      <w:pPr>
        <w:spacing w:after="0" w:line="240" w:lineRule="auto"/>
      </w:pPr>
      <w:r>
        <w:separator/>
      </w:r>
    </w:p>
  </w:endnote>
  <w:endnote w:type="continuationSeparator" w:id="0">
    <w:p w14:paraId="63BF9686" w14:textId="77777777" w:rsidR="00382FF9" w:rsidRDefault="00382FF9" w:rsidP="00B4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5953130"/>
      <w:docPartObj>
        <w:docPartGallery w:val="Page Numbers (Bottom of Page)"/>
        <w:docPartUnique/>
      </w:docPartObj>
    </w:sdtPr>
    <w:sdtEndPr>
      <w:rPr>
        <w:noProof/>
      </w:rPr>
    </w:sdtEndPr>
    <w:sdtContent>
      <w:p w14:paraId="4547595A" w14:textId="46CD20BE" w:rsidR="00B47812" w:rsidRDefault="00B4781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9EA00DE" w14:textId="77777777" w:rsidR="00B47812" w:rsidRDefault="00B478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E4EE0E" w14:textId="77777777" w:rsidR="00382FF9" w:rsidRDefault="00382FF9" w:rsidP="00B47812">
      <w:pPr>
        <w:spacing w:after="0" w:line="240" w:lineRule="auto"/>
      </w:pPr>
      <w:r>
        <w:separator/>
      </w:r>
    </w:p>
  </w:footnote>
  <w:footnote w:type="continuationSeparator" w:id="0">
    <w:p w14:paraId="20391DB7" w14:textId="77777777" w:rsidR="00382FF9" w:rsidRDefault="00382FF9" w:rsidP="00B478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C2E4D"/>
    <w:multiLevelType w:val="hybridMultilevel"/>
    <w:tmpl w:val="F206796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3C9D0734"/>
    <w:multiLevelType w:val="hybridMultilevel"/>
    <w:tmpl w:val="024C5C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6EF71BA"/>
    <w:multiLevelType w:val="multilevel"/>
    <w:tmpl w:val="971EF5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9241B50"/>
    <w:multiLevelType w:val="hybridMultilevel"/>
    <w:tmpl w:val="F4DC64D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767186853">
    <w:abstractNumId w:val="3"/>
  </w:num>
  <w:num w:numId="2" w16cid:durableId="1273047200">
    <w:abstractNumId w:val="1"/>
  </w:num>
  <w:num w:numId="3" w16cid:durableId="875704688">
    <w:abstractNumId w:val="2"/>
  </w:num>
  <w:num w:numId="4" w16cid:durableId="744047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656"/>
    <w:rsid w:val="0001205F"/>
    <w:rsid w:val="0003054F"/>
    <w:rsid w:val="00032BDD"/>
    <w:rsid w:val="00077622"/>
    <w:rsid w:val="00082FB0"/>
    <w:rsid w:val="00094945"/>
    <w:rsid w:val="000A0085"/>
    <w:rsid w:val="000A043A"/>
    <w:rsid w:val="000A0CA8"/>
    <w:rsid w:val="000E1612"/>
    <w:rsid w:val="000F2734"/>
    <w:rsid w:val="0010086A"/>
    <w:rsid w:val="00121DEE"/>
    <w:rsid w:val="00123195"/>
    <w:rsid w:val="00127C7E"/>
    <w:rsid w:val="0014203B"/>
    <w:rsid w:val="0014338B"/>
    <w:rsid w:val="001454C1"/>
    <w:rsid w:val="0015595C"/>
    <w:rsid w:val="00155B1C"/>
    <w:rsid w:val="00160957"/>
    <w:rsid w:val="00163B75"/>
    <w:rsid w:val="00172CB3"/>
    <w:rsid w:val="001A6AF6"/>
    <w:rsid w:val="001B3B1F"/>
    <w:rsid w:val="001C4284"/>
    <w:rsid w:val="001D2515"/>
    <w:rsid w:val="001D2F9D"/>
    <w:rsid w:val="001E696F"/>
    <w:rsid w:val="0020073C"/>
    <w:rsid w:val="00204684"/>
    <w:rsid w:val="002154C9"/>
    <w:rsid w:val="00236E1F"/>
    <w:rsid w:val="002563B7"/>
    <w:rsid w:val="002A59F8"/>
    <w:rsid w:val="002D416D"/>
    <w:rsid w:val="002D7D64"/>
    <w:rsid w:val="002F62B3"/>
    <w:rsid w:val="00303FB0"/>
    <w:rsid w:val="003260E6"/>
    <w:rsid w:val="0033323E"/>
    <w:rsid w:val="00347369"/>
    <w:rsid w:val="00351B58"/>
    <w:rsid w:val="00382FF9"/>
    <w:rsid w:val="00383649"/>
    <w:rsid w:val="00387A09"/>
    <w:rsid w:val="0039379B"/>
    <w:rsid w:val="003B4486"/>
    <w:rsid w:val="003C379B"/>
    <w:rsid w:val="003D35CE"/>
    <w:rsid w:val="003E0085"/>
    <w:rsid w:val="003F3B5D"/>
    <w:rsid w:val="0040162E"/>
    <w:rsid w:val="00430EB3"/>
    <w:rsid w:val="00442F06"/>
    <w:rsid w:val="00465C5E"/>
    <w:rsid w:val="0049134C"/>
    <w:rsid w:val="0049256C"/>
    <w:rsid w:val="00494396"/>
    <w:rsid w:val="004B64D4"/>
    <w:rsid w:val="005015D5"/>
    <w:rsid w:val="00514E6E"/>
    <w:rsid w:val="00537581"/>
    <w:rsid w:val="00537C0E"/>
    <w:rsid w:val="0054535C"/>
    <w:rsid w:val="0056573B"/>
    <w:rsid w:val="00573042"/>
    <w:rsid w:val="00573E2F"/>
    <w:rsid w:val="00586699"/>
    <w:rsid w:val="00595DA0"/>
    <w:rsid w:val="005B1108"/>
    <w:rsid w:val="005C426A"/>
    <w:rsid w:val="005E797C"/>
    <w:rsid w:val="00605F3A"/>
    <w:rsid w:val="00607CCD"/>
    <w:rsid w:val="00611DEB"/>
    <w:rsid w:val="00621E40"/>
    <w:rsid w:val="00635FD9"/>
    <w:rsid w:val="006434A3"/>
    <w:rsid w:val="006465F6"/>
    <w:rsid w:val="006662E3"/>
    <w:rsid w:val="00680F8F"/>
    <w:rsid w:val="006973D8"/>
    <w:rsid w:val="006A0B26"/>
    <w:rsid w:val="006A1D48"/>
    <w:rsid w:val="006A483C"/>
    <w:rsid w:val="006A4FB5"/>
    <w:rsid w:val="006A7C77"/>
    <w:rsid w:val="006C1063"/>
    <w:rsid w:val="006D6004"/>
    <w:rsid w:val="006E1B5B"/>
    <w:rsid w:val="006E645D"/>
    <w:rsid w:val="006F2764"/>
    <w:rsid w:val="00706CE5"/>
    <w:rsid w:val="0071054F"/>
    <w:rsid w:val="00733B7D"/>
    <w:rsid w:val="00742AAF"/>
    <w:rsid w:val="007436A8"/>
    <w:rsid w:val="00743D9A"/>
    <w:rsid w:val="0074641D"/>
    <w:rsid w:val="00763833"/>
    <w:rsid w:val="0077520D"/>
    <w:rsid w:val="007866C7"/>
    <w:rsid w:val="0078743A"/>
    <w:rsid w:val="007943B5"/>
    <w:rsid w:val="00796109"/>
    <w:rsid w:val="007B1CA1"/>
    <w:rsid w:val="007B1CB3"/>
    <w:rsid w:val="007D7C89"/>
    <w:rsid w:val="007F6F5B"/>
    <w:rsid w:val="00816211"/>
    <w:rsid w:val="00823465"/>
    <w:rsid w:val="00830BEC"/>
    <w:rsid w:val="00834961"/>
    <w:rsid w:val="00836A2B"/>
    <w:rsid w:val="00844326"/>
    <w:rsid w:val="00871574"/>
    <w:rsid w:val="00890A9E"/>
    <w:rsid w:val="00893D4D"/>
    <w:rsid w:val="0089584F"/>
    <w:rsid w:val="008A4871"/>
    <w:rsid w:val="008A7E58"/>
    <w:rsid w:val="008C6D41"/>
    <w:rsid w:val="008E6566"/>
    <w:rsid w:val="008F15D6"/>
    <w:rsid w:val="008F4B9A"/>
    <w:rsid w:val="008F633F"/>
    <w:rsid w:val="00904094"/>
    <w:rsid w:val="009057F8"/>
    <w:rsid w:val="00906391"/>
    <w:rsid w:val="00912283"/>
    <w:rsid w:val="00914845"/>
    <w:rsid w:val="00916FC6"/>
    <w:rsid w:val="0091710D"/>
    <w:rsid w:val="0093764A"/>
    <w:rsid w:val="00943D90"/>
    <w:rsid w:val="00954062"/>
    <w:rsid w:val="00965DA0"/>
    <w:rsid w:val="00984A02"/>
    <w:rsid w:val="00991B97"/>
    <w:rsid w:val="0099218E"/>
    <w:rsid w:val="009B5656"/>
    <w:rsid w:val="009B7161"/>
    <w:rsid w:val="009D05C8"/>
    <w:rsid w:val="009F2DBB"/>
    <w:rsid w:val="00A00274"/>
    <w:rsid w:val="00A12184"/>
    <w:rsid w:val="00A14FD8"/>
    <w:rsid w:val="00A277F4"/>
    <w:rsid w:val="00A35A05"/>
    <w:rsid w:val="00A95B18"/>
    <w:rsid w:val="00AA636C"/>
    <w:rsid w:val="00AB6B8F"/>
    <w:rsid w:val="00AD30DE"/>
    <w:rsid w:val="00AD4DF6"/>
    <w:rsid w:val="00B06F80"/>
    <w:rsid w:val="00B214C7"/>
    <w:rsid w:val="00B24D6D"/>
    <w:rsid w:val="00B47812"/>
    <w:rsid w:val="00B70B2F"/>
    <w:rsid w:val="00B7793F"/>
    <w:rsid w:val="00B80589"/>
    <w:rsid w:val="00B81858"/>
    <w:rsid w:val="00B85092"/>
    <w:rsid w:val="00B9656C"/>
    <w:rsid w:val="00BA3F8F"/>
    <w:rsid w:val="00BB3E0F"/>
    <w:rsid w:val="00BB774E"/>
    <w:rsid w:val="00BD375B"/>
    <w:rsid w:val="00C140E4"/>
    <w:rsid w:val="00C2413C"/>
    <w:rsid w:val="00C375C9"/>
    <w:rsid w:val="00CA26FE"/>
    <w:rsid w:val="00CB4752"/>
    <w:rsid w:val="00CC59C9"/>
    <w:rsid w:val="00CD339A"/>
    <w:rsid w:val="00CD63B5"/>
    <w:rsid w:val="00CD6C74"/>
    <w:rsid w:val="00CE38C7"/>
    <w:rsid w:val="00CE6E0B"/>
    <w:rsid w:val="00D13C5A"/>
    <w:rsid w:val="00D460A3"/>
    <w:rsid w:val="00D6125D"/>
    <w:rsid w:val="00D63A5A"/>
    <w:rsid w:val="00D72B5F"/>
    <w:rsid w:val="00D873DE"/>
    <w:rsid w:val="00DC2858"/>
    <w:rsid w:val="00DC2F93"/>
    <w:rsid w:val="00DD0926"/>
    <w:rsid w:val="00DD30C1"/>
    <w:rsid w:val="00E04286"/>
    <w:rsid w:val="00E40D27"/>
    <w:rsid w:val="00E40ED6"/>
    <w:rsid w:val="00E4749B"/>
    <w:rsid w:val="00E63CA6"/>
    <w:rsid w:val="00E64708"/>
    <w:rsid w:val="00E740AF"/>
    <w:rsid w:val="00EA6907"/>
    <w:rsid w:val="00EB2613"/>
    <w:rsid w:val="00EB58C5"/>
    <w:rsid w:val="00EC1870"/>
    <w:rsid w:val="00EC2316"/>
    <w:rsid w:val="00EC7735"/>
    <w:rsid w:val="00ED26A1"/>
    <w:rsid w:val="00ED73DF"/>
    <w:rsid w:val="00EE3BC4"/>
    <w:rsid w:val="00EE65B4"/>
    <w:rsid w:val="00EE7DE1"/>
    <w:rsid w:val="00F07369"/>
    <w:rsid w:val="00F53CC8"/>
    <w:rsid w:val="00F6647B"/>
    <w:rsid w:val="00FB219E"/>
    <w:rsid w:val="00FB7F0C"/>
    <w:rsid w:val="00FC1AE3"/>
    <w:rsid w:val="00FF0A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8322D"/>
  <w15:chartTrackingRefBased/>
  <w15:docId w15:val="{EA118D95-C222-4DFF-AC65-85DC7B951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B56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B5656"/>
    <w:pPr>
      <w:ind w:left="720"/>
      <w:contextualSpacing/>
    </w:pPr>
  </w:style>
  <w:style w:type="paragraph" w:customStyle="1" w:styleId="xmsonormal">
    <w:name w:val="x_msonormal"/>
    <w:basedOn w:val="Normal"/>
    <w:rsid w:val="00BB3E0F"/>
    <w:pPr>
      <w:spacing w:before="100" w:beforeAutospacing="1" w:after="100" w:afterAutospacing="1" w:line="240" w:lineRule="auto"/>
    </w:pPr>
    <w:rPr>
      <w:rFonts w:ascii="Calibri" w:eastAsiaTheme="minorEastAsia" w:hAnsi="Calibri" w:cs="Calibri"/>
      <w:lang w:eastAsia="en-GB"/>
    </w:rPr>
  </w:style>
  <w:style w:type="paragraph" w:styleId="Header">
    <w:name w:val="header"/>
    <w:basedOn w:val="Normal"/>
    <w:link w:val="HeaderChar"/>
    <w:uiPriority w:val="99"/>
    <w:unhideWhenUsed/>
    <w:rsid w:val="00B478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7812"/>
  </w:style>
  <w:style w:type="paragraph" w:styleId="Footer">
    <w:name w:val="footer"/>
    <w:basedOn w:val="Normal"/>
    <w:link w:val="FooterChar"/>
    <w:uiPriority w:val="99"/>
    <w:unhideWhenUsed/>
    <w:rsid w:val="00B478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78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0485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53AEDB-7423-48DF-940A-5180D1112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7</Pages>
  <Words>2398</Words>
  <Characters>13672</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Baber</dc:creator>
  <cp:keywords/>
  <dc:description/>
  <cp:lastModifiedBy>George Baber</cp:lastModifiedBy>
  <cp:revision>21</cp:revision>
  <dcterms:created xsi:type="dcterms:W3CDTF">2022-11-19T17:12:00Z</dcterms:created>
  <dcterms:modified xsi:type="dcterms:W3CDTF">2022-11-22T07:43:00Z</dcterms:modified>
</cp:coreProperties>
</file>