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1292C" w14:textId="77777777" w:rsidR="004F60DC" w:rsidRPr="009B4F4B" w:rsidRDefault="00000000" w:rsidP="009B4F4B">
      <w:pPr>
        <w:pStyle w:val="Heading1"/>
        <w:spacing w:before="120" w:after="120"/>
        <w:rPr>
          <w:rFonts w:ascii="Aptos" w:hAnsi="Aptos"/>
          <w:color w:val="000000" w:themeColor="text1"/>
        </w:rPr>
      </w:pPr>
      <w:r w:rsidRPr="009B4F4B">
        <w:rPr>
          <w:rFonts w:ascii="Aptos" w:hAnsi="Aptos"/>
          <w:color w:val="000000" w:themeColor="text1"/>
        </w:rPr>
        <w:t>ABRS+ Guidance: Positions of Trust in Riding Schools</w:t>
      </w:r>
    </w:p>
    <w:p w14:paraId="2FC47226" w14:textId="77777777" w:rsidR="004F60DC" w:rsidRPr="009B4F4B" w:rsidRDefault="00000000" w:rsidP="009B4F4B">
      <w:pPr>
        <w:pStyle w:val="Heading2"/>
        <w:spacing w:before="120" w:after="120"/>
        <w:rPr>
          <w:rFonts w:ascii="Aptos" w:hAnsi="Aptos"/>
          <w:color w:val="000000" w:themeColor="text1"/>
          <w:sz w:val="24"/>
          <w:szCs w:val="24"/>
        </w:rPr>
      </w:pPr>
      <w:r w:rsidRPr="009B4F4B">
        <w:rPr>
          <w:rFonts w:ascii="Aptos" w:hAnsi="Aptos"/>
          <w:color w:val="000000" w:themeColor="text1"/>
          <w:sz w:val="24"/>
          <w:szCs w:val="24"/>
        </w:rPr>
        <w:t>1. Purpose</w:t>
      </w:r>
    </w:p>
    <w:p w14:paraId="1E5BEBD5" w14:textId="58549664" w:rsidR="004F60DC" w:rsidRPr="009B4F4B" w:rsidRDefault="00000000" w:rsidP="009B4F4B">
      <w:pPr>
        <w:spacing w:before="120" w:after="120"/>
        <w:rPr>
          <w:rFonts w:ascii="Aptos" w:hAnsi="Aptos"/>
          <w:color w:val="000000" w:themeColor="text1"/>
          <w:sz w:val="24"/>
          <w:szCs w:val="24"/>
        </w:rPr>
      </w:pPr>
      <w:r w:rsidRPr="009B4F4B">
        <w:rPr>
          <w:rFonts w:ascii="Aptos" w:hAnsi="Aptos"/>
          <w:color w:val="000000" w:themeColor="text1"/>
          <w:sz w:val="24"/>
          <w:szCs w:val="24"/>
        </w:rPr>
        <w:t xml:space="preserve">This guidance </w:t>
      </w:r>
      <w:r w:rsidR="009B4F4B">
        <w:rPr>
          <w:rFonts w:ascii="Aptos" w:hAnsi="Aptos"/>
          <w:color w:val="000000" w:themeColor="text1"/>
          <w:sz w:val="24"/>
          <w:szCs w:val="24"/>
        </w:rPr>
        <w:t>is to assist</w:t>
      </w:r>
      <w:r w:rsidRPr="009B4F4B">
        <w:rPr>
          <w:rFonts w:ascii="Aptos" w:hAnsi="Aptos"/>
          <w:color w:val="000000" w:themeColor="text1"/>
          <w:sz w:val="24"/>
          <w:szCs w:val="24"/>
        </w:rPr>
        <w:t xml:space="preserve"> ABRS+ </w:t>
      </w:r>
      <w:r w:rsidR="009B4F4B">
        <w:rPr>
          <w:rFonts w:ascii="Aptos" w:hAnsi="Aptos"/>
          <w:color w:val="000000" w:themeColor="text1"/>
          <w:sz w:val="24"/>
          <w:szCs w:val="24"/>
        </w:rPr>
        <w:t>Equestrian Establishments</w:t>
      </w:r>
      <w:r w:rsidRPr="009B4F4B">
        <w:rPr>
          <w:rFonts w:ascii="Aptos" w:hAnsi="Aptos"/>
          <w:color w:val="000000" w:themeColor="text1"/>
          <w:sz w:val="24"/>
          <w:szCs w:val="24"/>
        </w:rPr>
        <w:t xml:space="preserve"> understand and manage Positions of Trust. Riding schools create relationships of trust between instructors, staff, volunteers, apprentices, working pupils, riders and families. These relationships are essential to learning and welfare but can also create power imbalances that require clear professional boundaries.</w:t>
      </w:r>
    </w:p>
    <w:p w14:paraId="4772FD8E" w14:textId="77777777" w:rsidR="004F60DC" w:rsidRPr="009B4F4B" w:rsidRDefault="00000000" w:rsidP="009B4F4B">
      <w:pPr>
        <w:pStyle w:val="Heading2"/>
        <w:spacing w:before="120" w:after="120"/>
        <w:rPr>
          <w:rFonts w:ascii="Aptos" w:hAnsi="Aptos"/>
          <w:color w:val="000000" w:themeColor="text1"/>
          <w:sz w:val="24"/>
          <w:szCs w:val="24"/>
        </w:rPr>
      </w:pPr>
      <w:r w:rsidRPr="009B4F4B">
        <w:rPr>
          <w:rFonts w:ascii="Aptos" w:hAnsi="Aptos"/>
          <w:color w:val="000000" w:themeColor="text1"/>
          <w:sz w:val="24"/>
          <w:szCs w:val="24"/>
        </w:rPr>
        <w:t>2. Who Holds a Position of Trust?</w:t>
      </w:r>
    </w:p>
    <w:p w14:paraId="21760CC0" w14:textId="77777777" w:rsidR="004F60DC" w:rsidRPr="009B4F4B" w:rsidRDefault="00000000" w:rsidP="009B4F4B">
      <w:pPr>
        <w:spacing w:before="120" w:after="120"/>
        <w:rPr>
          <w:rFonts w:ascii="Aptos" w:hAnsi="Aptos"/>
          <w:color w:val="000000" w:themeColor="text1"/>
          <w:sz w:val="24"/>
          <w:szCs w:val="24"/>
        </w:rPr>
      </w:pPr>
      <w:r w:rsidRPr="009B4F4B">
        <w:rPr>
          <w:rFonts w:ascii="Aptos" w:hAnsi="Aptos"/>
          <w:color w:val="000000" w:themeColor="text1"/>
          <w:sz w:val="24"/>
          <w:szCs w:val="24"/>
        </w:rPr>
        <w:t>This may include proprietors, centre managers, instructors, assistant instructors, coaches, camp leaders, volunteers, supervisors of working pupils or apprentices, safeguarding leads and any adult who regularly teaches, trains, supervises or assesses riders under 18.</w:t>
      </w:r>
    </w:p>
    <w:p w14:paraId="48D3E543" w14:textId="77777777" w:rsidR="004F60DC" w:rsidRPr="009B4F4B" w:rsidRDefault="00000000" w:rsidP="009B4F4B">
      <w:pPr>
        <w:pStyle w:val="Heading2"/>
        <w:spacing w:before="120" w:after="120"/>
        <w:rPr>
          <w:rFonts w:ascii="Aptos" w:hAnsi="Aptos"/>
          <w:color w:val="000000" w:themeColor="text1"/>
          <w:sz w:val="24"/>
          <w:szCs w:val="24"/>
        </w:rPr>
      </w:pPr>
      <w:r w:rsidRPr="009B4F4B">
        <w:rPr>
          <w:rFonts w:ascii="Aptos" w:hAnsi="Aptos"/>
          <w:color w:val="000000" w:themeColor="text1"/>
          <w:sz w:val="24"/>
          <w:szCs w:val="24"/>
        </w:rPr>
        <w:t>3. Legal Framework</w:t>
      </w:r>
    </w:p>
    <w:p w14:paraId="040F0812" w14:textId="77777777" w:rsidR="004F60DC" w:rsidRPr="009B4F4B" w:rsidRDefault="00000000" w:rsidP="009B4F4B">
      <w:pPr>
        <w:spacing w:before="120" w:after="120"/>
        <w:rPr>
          <w:rFonts w:ascii="Aptos" w:hAnsi="Aptos"/>
          <w:color w:val="000000" w:themeColor="text1"/>
          <w:sz w:val="24"/>
          <w:szCs w:val="24"/>
        </w:rPr>
      </w:pPr>
      <w:r w:rsidRPr="009B4F4B">
        <w:rPr>
          <w:rFonts w:ascii="Aptos" w:hAnsi="Aptos"/>
          <w:color w:val="000000" w:themeColor="text1"/>
          <w:sz w:val="24"/>
          <w:szCs w:val="24"/>
        </w:rPr>
        <w:t>The Sexual Offences Act 2003 (as amended) extends Position of Trust provisions to sports coaching. Adults aged 18 or over who regularly coach, train or supervise a young person under 18 may commit a criminal offence if they engage in sexual activity with that young person. Centres should seek safeguarding advice where any concern arises.</w:t>
      </w:r>
    </w:p>
    <w:p w14:paraId="4FB54E04" w14:textId="77777777" w:rsidR="004F60DC" w:rsidRPr="009B4F4B" w:rsidRDefault="00000000" w:rsidP="009B4F4B">
      <w:pPr>
        <w:pStyle w:val="Heading2"/>
        <w:spacing w:before="120" w:after="120"/>
        <w:rPr>
          <w:rFonts w:ascii="Aptos" w:hAnsi="Aptos"/>
          <w:color w:val="000000" w:themeColor="text1"/>
          <w:sz w:val="24"/>
          <w:szCs w:val="24"/>
        </w:rPr>
      </w:pPr>
      <w:r w:rsidRPr="009B4F4B">
        <w:rPr>
          <w:rFonts w:ascii="Aptos" w:hAnsi="Aptos"/>
          <w:color w:val="000000" w:themeColor="text1"/>
          <w:sz w:val="24"/>
          <w:szCs w:val="24"/>
        </w:rPr>
        <w:t>4. Professional Boundaries</w:t>
      </w:r>
    </w:p>
    <w:p w14:paraId="797EC11F" w14:textId="77777777" w:rsidR="004F60DC" w:rsidRPr="009B4F4B" w:rsidRDefault="00000000" w:rsidP="009B4F4B">
      <w:pPr>
        <w:spacing w:before="120" w:after="120"/>
        <w:rPr>
          <w:rFonts w:ascii="Aptos" w:hAnsi="Aptos"/>
          <w:color w:val="000000" w:themeColor="text1"/>
          <w:sz w:val="24"/>
          <w:szCs w:val="24"/>
        </w:rPr>
      </w:pPr>
      <w:r w:rsidRPr="009B4F4B">
        <w:rPr>
          <w:rFonts w:ascii="Aptos" w:hAnsi="Aptos"/>
          <w:color w:val="000000" w:themeColor="text1"/>
          <w:sz w:val="24"/>
          <w:szCs w:val="24"/>
        </w:rPr>
        <w:t>Maintain professional relationships, use approved communication channels, avoid secrecy, avoid becoming a rider's personal confidante, maintain appropriate physical boundaries, and ensure transparency in all interactions.</w:t>
      </w:r>
    </w:p>
    <w:p w14:paraId="0EC3C205" w14:textId="77777777" w:rsidR="004F60DC" w:rsidRPr="009B4F4B" w:rsidRDefault="00000000" w:rsidP="009B4F4B">
      <w:pPr>
        <w:pStyle w:val="Heading2"/>
        <w:spacing w:before="120" w:after="120"/>
        <w:rPr>
          <w:rFonts w:ascii="Aptos" w:hAnsi="Aptos"/>
          <w:color w:val="000000" w:themeColor="text1"/>
          <w:sz w:val="24"/>
          <w:szCs w:val="24"/>
        </w:rPr>
      </w:pPr>
      <w:r w:rsidRPr="009B4F4B">
        <w:rPr>
          <w:rFonts w:ascii="Aptos" w:hAnsi="Aptos"/>
          <w:color w:val="000000" w:themeColor="text1"/>
          <w:sz w:val="24"/>
          <w:szCs w:val="24"/>
        </w:rPr>
        <w:t>5. Riding School Specific Risk Areas</w:t>
      </w:r>
    </w:p>
    <w:p w14:paraId="06F6E1C2" w14:textId="77777777" w:rsidR="004F60DC" w:rsidRPr="009B4F4B" w:rsidRDefault="00000000" w:rsidP="009B4F4B">
      <w:pPr>
        <w:spacing w:before="120" w:after="120"/>
        <w:rPr>
          <w:rFonts w:ascii="Aptos" w:hAnsi="Aptos"/>
          <w:color w:val="000000" w:themeColor="text1"/>
          <w:sz w:val="24"/>
          <w:szCs w:val="24"/>
        </w:rPr>
      </w:pPr>
      <w:r w:rsidRPr="009B4F4B">
        <w:rPr>
          <w:rFonts w:ascii="Aptos" w:hAnsi="Aptos"/>
          <w:color w:val="000000" w:themeColor="text1"/>
          <w:sz w:val="24"/>
          <w:szCs w:val="24"/>
        </w:rPr>
        <w:t>Private lessons, pony camps, transporting riders, social media contact, work experience placements, apprenticeships, working pupil arrangements and unsupervised yard activities require additional safeguards.</w:t>
      </w:r>
    </w:p>
    <w:p w14:paraId="483F7BD5" w14:textId="77777777" w:rsidR="004F60DC" w:rsidRPr="009B4F4B" w:rsidRDefault="00000000" w:rsidP="009B4F4B">
      <w:pPr>
        <w:pStyle w:val="Heading2"/>
        <w:spacing w:before="120" w:after="120"/>
        <w:rPr>
          <w:rFonts w:ascii="Aptos" w:hAnsi="Aptos"/>
          <w:color w:val="000000" w:themeColor="text1"/>
          <w:sz w:val="24"/>
          <w:szCs w:val="24"/>
        </w:rPr>
      </w:pPr>
      <w:r w:rsidRPr="009B4F4B">
        <w:rPr>
          <w:rFonts w:ascii="Aptos" w:hAnsi="Aptos"/>
          <w:color w:val="000000" w:themeColor="text1"/>
          <w:sz w:val="24"/>
          <w:szCs w:val="24"/>
        </w:rPr>
        <w:t>6. Warning Signs</w:t>
      </w:r>
    </w:p>
    <w:p w14:paraId="467E8899" w14:textId="77777777" w:rsidR="004F60DC" w:rsidRPr="009B4F4B" w:rsidRDefault="00000000" w:rsidP="009B4F4B">
      <w:pPr>
        <w:spacing w:before="120" w:after="120"/>
        <w:rPr>
          <w:rFonts w:ascii="Aptos" w:hAnsi="Aptos"/>
          <w:color w:val="000000" w:themeColor="text1"/>
          <w:sz w:val="24"/>
          <w:szCs w:val="24"/>
        </w:rPr>
      </w:pPr>
      <w:r w:rsidRPr="009B4F4B">
        <w:rPr>
          <w:rFonts w:ascii="Aptos" w:hAnsi="Aptos"/>
          <w:color w:val="000000" w:themeColor="text1"/>
          <w:sz w:val="24"/>
          <w:szCs w:val="24"/>
        </w:rPr>
        <w:t>Warning signs include special treatment, gift giving, excessive one-to-one contact, private messaging, socialising outside official activities, inappropriate jokes, flirtation, secrecy, unnecessary transport arrangements and acting as a personal confidante.</w:t>
      </w:r>
    </w:p>
    <w:p w14:paraId="7F4B36D6" w14:textId="77777777" w:rsidR="004F60DC" w:rsidRPr="009B4F4B" w:rsidRDefault="00000000" w:rsidP="009B4F4B">
      <w:pPr>
        <w:pStyle w:val="Heading2"/>
        <w:spacing w:before="120" w:after="120"/>
        <w:rPr>
          <w:rFonts w:ascii="Aptos" w:hAnsi="Aptos"/>
          <w:color w:val="000000" w:themeColor="text1"/>
          <w:sz w:val="24"/>
          <w:szCs w:val="24"/>
        </w:rPr>
      </w:pPr>
      <w:r w:rsidRPr="009B4F4B">
        <w:rPr>
          <w:rFonts w:ascii="Aptos" w:hAnsi="Aptos"/>
          <w:color w:val="000000" w:themeColor="text1"/>
          <w:sz w:val="24"/>
          <w:szCs w:val="24"/>
        </w:rPr>
        <w:t>7. Young Instructors</w:t>
      </w:r>
    </w:p>
    <w:p w14:paraId="0383A71B" w14:textId="77777777" w:rsidR="004F60DC" w:rsidRPr="009B4F4B" w:rsidRDefault="00000000" w:rsidP="009B4F4B">
      <w:pPr>
        <w:spacing w:before="120" w:after="120"/>
        <w:rPr>
          <w:rFonts w:ascii="Aptos" w:hAnsi="Aptos"/>
          <w:color w:val="000000" w:themeColor="text1"/>
          <w:sz w:val="24"/>
          <w:szCs w:val="24"/>
        </w:rPr>
      </w:pPr>
      <w:r w:rsidRPr="009B4F4B">
        <w:rPr>
          <w:rFonts w:ascii="Aptos" w:hAnsi="Aptos"/>
          <w:color w:val="000000" w:themeColor="text1"/>
          <w:sz w:val="24"/>
          <w:szCs w:val="24"/>
        </w:rPr>
        <w:t>Young instructors under 18 should receive supervision and training. When an instructor turns 18, any existing relationship with a rider under 18 should be reviewed carefully in line with safeguarding guidance.</w:t>
      </w:r>
    </w:p>
    <w:p w14:paraId="6CAE77EB" w14:textId="77777777" w:rsidR="004F60DC" w:rsidRPr="009B4F4B" w:rsidRDefault="00000000" w:rsidP="009B4F4B">
      <w:pPr>
        <w:pStyle w:val="Heading2"/>
        <w:spacing w:before="120" w:after="120"/>
        <w:rPr>
          <w:rFonts w:ascii="Aptos" w:hAnsi="Aptos"/>
          <w:color w:val="000000" w:themeColor="text1"/>
          <w:sz w:val="24"/>
          <w:szCs w:val="24"/>
        </w:rPr>
      </w:pPr>
      <w:r w:rsidRPr="009B4F4B">
        <w:rPr>
          <w:rFonts w:ascii="Aptos" w:hAnsi="Aptos"/>
          <w:color w:val="000000" w:themeColor="text1"/>
          <w:sz w:val="24"/>
          <w:szCs w:val="24"/>
        </w:rPr>
        <w:t>8. Adults and Positions of Trust</w:t>
      </w:r>
    </w:p>
    <w:p w14:paraId="7C3B6CA7" w14:textId="77777777" w:rsidR="004F60DC" w:rsidRPr="009B4F4B" w:rsidRDefault="00000000" w:rsidP="009B4F4B">
      <w:pPr>
        <w:spacing w:before="120" w:after="120"/>
        <w:rPr>
          <w:rFonts w:ascii="Aptos" w:hAnsi="Aptos"/>
          <w:color w:val="000000" w:themeColor="text1"/>
          <w:sz w:val="24"/>
          <w:szCs w:val="24"/>
        </w:rPr>
      </w:pPr>
      <w:r w:rsidRPr="009B4F4B">
        <w:rPr>
          <w:rFonts w:ascii="Aptos" w:hAnsi="Aptos"/>
          <w:color w:val="000000" w:themeColor="text1"/>
          <w:sz w:val="24"/>
          <w:szCs w:val="24"/>
        </w:rPr>
        <w:t>Relationships between consenting adults are not generally prohibited by law. However, coaches and instructors should recognise power imbalances, conflicts of interest and the need for transparency and professional conduct.</w:t>
      </w:r>
    </w:p>
    <w:p w14:paraId="0EC42D4B" w14:textId="77777777" w:rsidR="004F60DC" w:rsidRPr="009B4F4B" w:rsidRDefault="00000000" w:rsidP="009B4F4B">
      <w:pPr>
        <w:pStyle w:val="Heading2"/>
        <w:spacing w:before="120" w:after="120"/>
        <w:rPr>
          <w:rFonts w:ascii="Aptos" w:hAnsi="Aptos"/>
          <w:color w:val="000000" w:themeColor="text1"/>
          <w:sz w:val="24"/>
          <w:szCs w:val="24"/>
        </w:rPr>
      </w:pPr>
      <w:r w:rsidRPr="009B4F4B">
        <w:rPr>
          <w:rFonts w:ascii="Aptos" w:hAnsi="Aptos"/>
          <w:color w:val="000000" w:themeColor="text1"/>
          <w:sz w:val="24"/>
          <w:szCs w:val="24"/>
        </w:rPr>
        <w:lastRenderedPageBreak/>
        <w:t>9. Reporting Concerns</w:t>
      </w:r>
    </w:p>
    <w:p w14:paraId="170A5C02" w14:textId="77777777" w:rsidR="004F60DC" w:rsidRPr="009B4F4B" w:rsidRDefault="00000000" w:rsidP="009B4F4B">
      <w:pPr>
        <w:spacing w:before="120" w:after="120"/>
        <w:rPr>
          <w:rFonts w:ascii="Aptos" w:hAnsi="Aptos"/>
          <w:color w:val="000000" w:themeColor="text1"/>
          <w:sz w:val="24"/>
          <w:szCs w:val="24"/>
        </w:rPr>
      </w:pPr>
      <w:r w:rsidRPr="009B4F4B">
        <w:rPr>
          <w:rFonts w:ascii="Aptos" w:hAnsi="Aptos"/>
          <w:color w:val="000000" w:themeColor="text1"/>
          <w:sz w:val="24"/>
          <w:szCs w:val="24"/>
        </w:rPr>
        <w:t>Concerns should be reported immediately to the Designated Safeguarding Lead, Centre Manager, ABRS+ safeguarding contact, Children's Services or Police as appropriate. Staff should not investigate concerns themselves.</w:t>
      </w:r>
    </w:p>
    <w:p w14:paraId="03787054" w14:textId="77777777" w:rsidR="004F60DC" w:rsidRPr="009B4F4B" w:rsidRDefault="00000000" w:rsidP="009B4F4B">
      <w:pPr>
        <w:pStyle w:val="Heading2"/>
        <w:spacing w:before="120" w:after="120"/>
        <w:rPr>
          <w:rFonts w:ascii="Aptos" w:hAnsi="Aptos"/>
          <w:color w:val="000000" w:themeColor="text1"/>
          <w:sz w:val="24"/>
          <w:szCs w:val="24"/>
        </w:rPr>
      </w:pPr>
      <w:r w:rsidRPr="009B4F4B">
        <w:rPr>
          <w:rFonts w:ascii="Aptos" w:hAnsi="Aptos"/>
          <w:color w:val="000000" w:themeColor="text1"/>
          <w:sz w:val="24"/>
          <w:szCs w:val="24"/>
        </w:rPr>
        <w:t>Appendix A – Riding School Examples</w:t>
      </w:r>
    </w:p>
    <w:p w14:paraId="3E79F173" w14:textId="77777777" w:rsidR="004F60DC" w:rsidRPr="009B4F4B" w:rsidRDefault="00000000" w:rsidP="009B4F4B">
      <w:pPr>
        <w:pStyle w:val="ListParagraph"/>
        <w:numPr>
          <w:ilvl w:val="0"/>
          <w:numId w:val="10"/>
        </w:numPr>
        <w:spacing w:before="120" w:after="120"/>
        <w:rPr>
          <w:rFonts w:ascii="Aptos" w:hAnsi="Aptos"/>
          <w:color w:val="000000" w:themeColor="text1"/>
          <w:sz w:val="24"/>
          <w:szCs w:val="24"/>
        </w:rPr>
      </w:pPr>
      <w:r w:rsidRPr="009B4F4B">
        <w:rPr>
          <w:rFonts w:ascii="Aptos" w:hAnsi="Aptos"/>
          <w:color w:val="000000" w:themeColor="text1"/>
          <w:sz w:val="24"/>
          <w:szCs w:val="24"/>
        </w:rPr>
        <w:t>An 18-year-old instructor provides weekly lessons to a 17-year-old rider and begins a sexual relationship. This may constitute a Position of Trust offence and should be reported.</w:t>
      </w:r>
    </w:p>
    <w:p w14:paraId="6730A5B0" w14:textId="77777777" w:rsidR="004F60DC" w:rsidRPr="009B4F4B" w:rsidRDefault="00000000" w:rsidP="009B4F4B">
      <w:pPr>
        <w:pStyle w:val="ListParagraph"/>
        <w:numPr>
          <w:ilvl w:val="0"/>
          <w:numId w:val="10"/>
        </w:numPr>
        <w:spacing w:before="120" w:after="120"/>
        <w:rPr>
          <w:rFonts w:ascii="Aptos" w:hAnsi="Aptos"/>
          <w:color w:val="000000" w:themeColor="text1"/>
          <w:sz w:val="24"/>
          <w:szCs w:val="24"/>
        </w:rPr>
      </w:pPr>
      <w:r w:rsidRPr="009B4F4B">
        <w:rPr>
          <w:rFonts w:ascii="Aptos" w:hAnsi="Aptos"/>
          <w:color w:val="000000" w:themeColor="text1"/>
          <w:sz w:val="24"/>
          <w:szCs w:val="24"/>
        </w:rPr>
        <w:t>A young instructor turns 18 while already in a relationship with a 17-year-old rider that pre-dated the instructor role. Specialist safeguarding advice should be sought and a risk assessment completed.</w:t>
      </w:r>
    </w:p>
    <w:p w14:paraId="505133C4" w14:textId="77777777" w:rsidR="004F60DC" w:rsidRPr="009B4F4B" w:rsidRDefault="00000000" w:rsidP="009B4F4B">
      <w:pPr>
        <w:pStyle w:val="ListParagraph"/>
        <w:numPr>
          <w:ilvl w:val="0"/>
          <w:numId w:val="10"/>
        </w:numPr>
        <w:spacing w:before="120" w:after="120"/>
        <w:rPr>
          <w:rFonts w:ascii="Aptos" w:hAnsi="Aptos"/>
          <w:color w:val="000000" w:themeColor="text1"/>
          <w:sz w:val="24"/>
          <w:szCs w:val="24"/>
        </w:rPr>
      </w:pPr>
      <w:r w:rsidRPr="009B4F4B">
        <w:rPr>
          <w:rFonts w:ascii="Aptos" w:hAnsi="Aptos"/>
          <w:color w:val="000000" w:themeColor="text1"/>
          <w:sz w:val="24"/>
          <w:szCs w:val="24"/>
        </w:rPr>
        <w:t>An instructor regularly gives a particular rider gifts, special privileges and private lessons without transparency. This should be treated as a safeguarding concern.</w:t>
      </w:r>
    </w:p>
    <w:p w14:paraId="563BD672" w14:textId="77777777" w:rsidR="004F60DC" w:rsidRPr="009B4F4B" w:rsidRDefault="00000000" w:rsidP="009B4F4B">
      <w:pPr>
        <w:pStyle w:val="ListParagraph"/>
        <w:numPr>
          <w:ilvl w:val="0"/>
          <w:numId w:val="10"/>
        </w:numPr>
        <w:spacing w:before="120" w:after="120"/>
        <w:rPr>
          <w:rFonts w:ascii="Aptos" w:hAnsi="Aptos"/>
          <w:color w:val="000000" w:themeColor="text1"/>
          <w:sz w:val="24"/>
          <w:szCs w:val="24"/>
        </w:rPr>
      </w:pPr>
      <w:r w:rsidRPr="009B4F4B">
        <w:rPr>
          <w:rFonts w:ascii="Aptos" w:hAnsi="Aptos"/>
          <w:color w:val="000000" w:themeColor="text1"/>
          <w:sz w:val="24"/>
          <w:szCs w:val="24"/>
        </w:rPr>
        <w:t xml:space="preserve">A camp leader communicates with a young rider through private social media messages late at night. This breaches </w:t>
      </w:r>
      <w:proofErr w:type="gramStart"/>
      <w:r w:rsidRPr="009B4F4B">
        <w:rPr>
          <w:rFonts w:ascii="Aptos" w:hAnsi="Aptos"/>
          <w:color w:val="000000" w:themeColor="text1"/>
          <w:sz w:val="24"/>
          <w:szCs w:val="24"/>
        </w:rPr>
        <w:t>professional boundary</w:t>
      </w:r>
      <w:proofErr w:type="gramEnd"/>
      <w:r w:rsidRPr="009B4F4B">
        <w:rPr>
          <w:rFonts w:ascii="Aptos" w:hAnsi="Aptos"/>
          <w:color w:val="000000" w:themeColor="text1"/>
          <w:sz w:val="24"/>
          <w:szCs w:val="24"/>
        </w:rPr>
        <w:t xml:space="preserve"> expectations and should be reported.</w:t>
      </w:r>
    </w:p>
    <w:p w14:paraId="509EB100" w14:textId="77777777" w:rsidR="004F60DC" w:rsidRPr="009B4F4B" w:rsidRDefault="00000000" w:rsidP="009B4F4B">
      <w:pPr>
        <w:pStyle w:val="ListParagraph"/>
        <w:numPr>
          <w:ilvl w:val="0"/>
          <w:numId w:val="10"/>
        </w:numPr>
        <w:spacing w:before="120" w:after="120"/>
        <w:rPr>
          <w:rFonts w:ascii="Aptos" w:hAnsi="Aptos"/>
          <w:color w:val="000000" w:themeColor="text1"/>
          <w:sz w:val="24"/>
          <w:szCs w:val="24"/>
        </w:rPr>
      </w:pPr>
      <w:r w:rsidRPr="009B4F4B">
        <w:rPr>
          <w:rFonts w:ascii="Aptos" w:hAnsi="Aptos"/>
          <w:color w:val="000000" w:themeColor="text1"/>
          <w:sz w:val="24"/>
          <w:szCs w:val="24"/>
        </w:rPr>
        <w:t>A coach begins a relationship with an adult rider whom they assess for competitions. The coach should declare the conflict and remove themselves from decisions affecting that rider.</w:t>
      </w:r>
    </w:p>
    <w:sectPr w:rsidR="004F60DC" w:rsidRPr="009B4F4B" w:rsidSect="009B4F4B">
      <w:footerReference w:type="default" r:id="rId8"/>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8B6B7" w14:textId="77777777" w:rsidR="004F3CC2" w:rsidRDefault="004F3CC2" w:rsidP="009B4F4B">
      <w:pPr>
        <w:spacing w:after="0" w:line="240" w:lineRule="auto"/>
      </w:pPr>
      <w:r>
        <w:separator/>
      </w:r>
    </w:p>
  </w:endnote>
  <w:endnote w:type="continuationSeparator" w:id="0">
    <w:p w14:paraId="0D2F75BA" w14:textId="77777777" w:rsidR="004F3CC2" w:rsidRDefault="004F3CC2" w:rsidP="009B4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208198"/>
      <w:docPartObj>
        <w:docPartGallery w:val="Page Numbers (Bottom of Page)"/>
        <w:docPartUnique/>
      </w:docPartObj>
    </w:sdtPr>
    <w:sdtEndPr>
      <w:rPr>
        <w:rFonts w:ascii="Aptos" w:hAnsi="Aptos"/>
        <w:sz w:val="24"/>
        <w:szCs w:val="24"/>
      </w:rPr>
    </w:sdtEndPr>
    <w:sdtContent>
      <w:p w14:paraId="417910F5" w14:textId="1437C9FB" w:rsidR="009B4F4B" w:rsidRPr="009B4F4B" w:rsidRDefault="009B4F4B">
        <w:pPr>
          <w:pStyle w:val="Footer"/>
          <w:jc w:val="center"/>
          <w:rPr>
            <w:rFonts w:ascii="Aptos" w:hAnsi="Aptos"/>
            <w:sz w:val="24"/>
            <w:szCs w:val="24"/>
          </w:rPr>
        </w:pPr>
        <w:r>
          <w:rPr>
            <w:rFonts w:ascii="Aptos" w:hAnsi="Aptos"/>
            <w:noProof/>
            <w:sz w:val="24"/>
            <w:szCs w:val="24"/>
          </w:rPr>
          <mc:AlternateContent>
            <mc:Choice Requires="wps">
              <w:drawing>
                <wp:anchor distT="0" distB="0" distL="114300" distR="114300" simplePos="0" relativeHeight="251659264" behindDoc="0" locked="0" layoutInCell="1" allowOverlap="1" wp14:anchorId="3B4C60AD" wp14:editId="2CE36D90">
                  <wp:simplePos x="0" y="0"/>
                  <wp:positionH relativeFrom="column">
                    <wp:posOffset>5191125</wp:posOffset>
                  </wp:positionH>
                  <wp:positionV relativeFrom="paragraph">
                    <wp:posOffset>-64770</wp:posOffset>
                  </wp:positionV>
                  <wp:extent cx="838200" cy="323850"/>
                  <wp:effectExtent l="0" t="0" r="0" b="0"/>
                  <wp:wrapNone/>
                  <wp:docPr id="1999229130" name="Text Box 1"/>
                  <wp:cNvGraphicFramePr/>
                  <a:graphic xmlns:a="http://schemas.openxmlformats.org/drawingml/2006/main">
                    <a:graphicData uri="http://schemas.microsoft.com/office/word/2010/wordprocessingShape">
                      <wps:wsp>
                        <wps:cNvSpPr txBox="1"/>
                        <wps:spPr>
                          <a:xfrm>
                            <a:off x="0" y="0"/>
                            <a:ext cx="838200" cy="323850"/>
                          </a:xfrm>
                          <a:prstGeom prst="rect">
                            <a:avLst/>
                          </a:prstGeom>
                          <a:solidFill>
                            <a:schemeClr val="lt1"/>
                          </a:solidFill>
                          <a:ln w="6350">
                            <a:noFill/>
                          </a:ln>
                        </wps:spPr>
                        <wps:txbx>
                          <w:txbxContent>
                            <w:p w14:paraId="6F00DF5C" w14:textId="52C10DA6" w:rsidR="009B4F4B" w:rsidRPr="009B4F4B" w:rsidRDefault="009B4F4B" w:rsidP="009B4F4B">
                              <w:pPr>
                                <w:jc w:val="right"/>
                                <w:rPr>
                                  <w:rFonts w:ascii="Aptos" w:hAnsi="Aptos"/>
                                  <w:sz w:val="24"/>
                                  <w:szCs w:val="24"/>
                                </w:rPr>
                              </w:pPr>
                              <w:r w:rsidRPr="009B4F4B">
                                <w:rPr>
                                  <w:rFonts w:ascii="Aptos" w:hAnsi="Aptos"/>
                                  <w:sz w:val="24"/>
                                  <w:szCs w:val="24"/>
                                </w:rPr>
                                <w:t>Jun 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4C60AD" id="_x0000_t202" coordsize="21600,21600" o:spt="202" path="m,l,21600r21600,l21600,xe">
                  <v:stroke joinstyle="miter"/>
                  <v:path gradientshapeok="t" o:connecttype="rect"/>
                </v:shapetype>
                <v:shape id="Text Box 1" o:spid="_x0000_s1026" type="#_x0000_t202" style="position:absolute;left:0;text-align:left;margin-left:408.75pt;margin-top:-5.1pt;width:66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" fillcolor="white [3201]" stroked="f" strokeweight=".5pt">
                  <v:textbox>
                    <w:txbxContent>
                      <w:p w14:paraId="6F00DF5C" w14:textId="52C10DA6" w:rsidR="009B4F4B" w:rsidRPr="009B4F4B" w:rsidRDefault="009B4F4B" w:rsidP="009B4F4B">
                        <w:pPr>
                          <w:jc w:val="right"/>
                          <w:rPr>
                            <w:rFonts w:ascii="Aptos" w:hAnsi="Aptos"/>
                            <w:sz w:val="24"/>
                            <w:szCs w:val="24"/>
                          </w:rPr>
                        </w:pPr>
                        <w:r w:rsidRPr="009B4F4B">
                          <w:rPr>
                            <w:rFonts w:ascii="Aptos" w:hAnsi="Aptos"/>
                            <w:sz w:val="24"/>
                            <w:szCs w:val="24"/>
                          </w:rPr>
                          <w:t>Jun 26</w:t>
                        </w:r>
                      </w:p>
                    </w:txbxContent>
                  </v:textbox>
                </v:shape>
              </w:pict>
            </mc:Fallback>
          </mc:AlternateContent>
        </w:r>
        <w:r w:rsidRPr="009B4F4B">
          <w:rPr>
            <w:rFonts w:ascii="Aptos" w:hAnsi="Aptos"/>
            <w:sz w:val="24"/>
            <w:szCs w:val="24"/>
          </w:rPr>
          <w:fldChar w:fldCharType="begin"/>
        </w:r>
        <w:r w:rsidRPr="009B4F4B">
          <w:rPr>
            <w:rFonts w:ascii="Aptos" w:hAnsi="Aptos"/>
            <w:sz w:val="24"/>
            <w:szCs w:val="24"/>
          </w:rPr>
          <w:instrText>PAGE   \* MERGEFORMAT</w:instrText>
        </w:r>
        <w:r w:rsidRPr="009B4F4B">
          <w:rPr>
            <w:rFonts w:ascii="Aptos" w:hAnsi="Aptos"/>
            <w:sz w:val="24"/>
            <w:szCs w:val="24"/>
          </w:rPr>
          <w:fldChar w:fldCharType="separate"/>
        </w:r>
        <w:r w:rsidRPr="009B4F4B">
          <w:rPr>
            <w:rFonts w:ascii="Aptos" w:hAnsi="Aptos"/>
            <w:sz w:val="24"/>
            <w:szCs w:val="24"/>
            <w:lang w:val="en-GB"/>
          </w:rPr>
          <w:t>2</w:t>
        </w:r>
        <w:r w:rsidRPr="009B4F4B">
          <w:rPr>
            <w:rFonts w:ascii="Aptos" w:hAnsi="Aptos"/>
            <w:sz w:val="24"/>
            <w:szCs w:val="24"/>
          </w:rPr>
          <w:fldChar w:fldCharType="end"/>
        </w:r>
      </w:p>
    </w:sdtContent>
  </w:sdt>
  <w:p w14:paraId="28104449" w14:textId="77777777" w:rsidR="009B4F4B" w:rsidRDefault="009B4F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FA9A9" w14:textId="77777777" w:rsidR="004F3CC2" w:rsidRDefault="004F3CC2" w:rsidP="009B4F4B">
      <w:pPr>
        <w:spacing w:after="0" w:line="240" w:lineRule="auto"/>
      </w:pPr>
      <w:r>
        <w:separator/>
      </w:r>
    </w:p>
  </w:footnote>
  <w:footnote w:type="continuationSeparator" w:id="0">
    <w:p w14:paraId="3A59981F" w14:textId="77777777" w:rsidR="004F3CC2" w:rsidRDefault="004F3CC2" w:rsidP="009B4F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1B13FB3"/>
    <w:multiLevelType w:val="hybridMultilevel"/>
    <w:tmpl w:val="11705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62954867">
    <w:abstractNumId w:val="8"/>
  </w:num>
  <w:num w:numId="2" w16cid:durableId="1116413193">
    <w:abstractNumId w:val="6"/>
  </w:num>
  <w:num w:numId="3" w16cid:durableId="632293361">
    <w:abstractNumId w:val="5"/>
  </w:num>
  <w:num w:numId="4" w16cid:durableId="1096945038">
    <w:abstractNumId w:val="4"/>
  </w:num>
  <w:num w:numId="5" w16cid:durableId="1995718623">
    <w:abstractNumId w:val="7"/>
  </w:num>
  <w:num w:numId="6" w16cid:durableId="774978594">
    <w:abstractNumId w:val="3"/>
  </w:num>
  <w:num w:numId="7" w16cid:durableId="916397801">
    <w:abstractNumId w:val="2"/>
  </w:num>
  <w:num w:numId="8" w16cid:durableId="1030498761">
    <w:abstractNumId w:val="1"/>
  </w:num>
  <w:num w:numId="9" w16cid:durableId="515271093">
    <w:abstractNumId w:val="0"/>
  </w:num>
  <w:num w:numId="10" w16cid:durableId="10894288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A6539"/>
    <w:rsid w:val="0029639D"/>
    <w:rsid w:val="00326F90"/>
    <w:rsid w:val="004F3CC2"/>
    <w:rsid w:val="004F60DC"/>
    <w:rsid w:val="00720062"/>
    <w:rsid w:val="00731178"/>
    <w:rsid w:val="009B4F4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A1D815"/>
  <w14:defaultImageDpi w14:val="300"/>
  <w15:docId w15:val="{05DDFC35-7822-440F-A3DF-CE4753FFE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George Baber</cp:lastModifiedBy>
  <cp:revision>2</cp:revision>
  <dcterms:created xsi:type="dcterms:W3CDTF">2026-06-18T16:53:00Z</dcterms:created>
  <dcterms:modified xsi:type="dcterms:W3CDTF">2026-06-18T16:53:00Z</dcterms:modified>
  <cp:category/>
</cp:coreProperties>
</file>